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4EAAC0A7" w14:textId="77777777" w:rsidR="00AE6655" w:rsidRPr="009546E7" w:rsidRDefault="00AE6655" w:rsidP="00AE6655">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07ADA395" w14:textId="77777777" w:rsidR="00AE6655" w:rsidRPr="009546E7" w:rsidRDefault="00AE6655" w:rsidP="00AE6655">
      <w:pPr>
        <w:spacing w:after="0"/>
        <w:jc w:val="both"/>
        <w:rPr>
          <w:sz w:val="20"/>
          <w:szCs w:val="20"/>
        </w:rPr>
      </w:pPr>
    </w:p>
    <w:p w14:paraId="0BDD0C74" w14:textId="37A3C0D1" w:rsidR="00536217" w:rsidRDefault="00AE6655" w:rsidP="00AE6655">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7F225271" w:rsidR="00E60F03" w:rsidRPr="009546E7" w:rsidRDefault="00830A04" w:rsidP="00E60F03">
      <w:pPr>
        <w:pStyle w:val="Prrafodelista"/>
        <w:spacing w:after="0"/>
        <w:ind w:left="360"/>
        <w:rPr>
          <w:sz w:val="20"/>
          <w:szCs w:val="20"/>
        </w:rPr>
      </w:pPr>
      <w:r w:rsidRPr="00830A04">
        <w:rPr>
          <w:sz w:val="20"/>
          <w:szCs w:val="20"/>
        </w:rPr>
        <w:t>Tasa de sobrecobertura a nivel unidad.</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06A7411"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830A04">
        <w:rPr>
          <w:sz w:val="20"/>
          <w:szCs w:val="20"/>
        </w:rPr>
        <w:t>2</w:t>
      </w:r>
      <w:r w:rsidRPr="00E60F03">
        <w:rPr>
          <w:sz w:val="20"/>
          <w:szCs w:val="20"/>
        </w:rPr>
        <w:t>/201</w:t>
      </w:r>
      <w:r w:rsidR="00830A04">
        <w:rPr>
          <w:sz w:val="20"/>
          <w:szCs w:val="20"/>
        </w:rPr>
        <w:t>9</w:t>
      </w:r>
      <w:r w:rsidRPr="00E60F03">
        <w:rPr>
          <w:sz w:val="20"/>
          <w:szCs w:val="20"/>
        </w:rPr>
        <w:t xml:space="preserve"> en la </w:t>
      </w:r>
      <w:r w:rsidR="00830A04">
        <w:rPr>
          <w:sz w:val="20"/>
          <w:szCs w:val="20"/>
        </w:rPr>
        <w:t>segunda</w:t>
      </w:r>
      <w:r w:rsidRPr="00E60F03">
        <w:rPr>
          <w:sz w:val="20"/>
          <w:szCs w:val="20"/>
        </w:rPr>
        <w:t xml:space="preserve"> sesión del 201</w:t>
      </w:r>
      <w:r w:rsidR="00830A04">
        <w:rPr>
          <w:sz w:val="20"/>
          <w:szCs w:val="20"/>
        </w:rPr>
        <w:t>9</w:t>
      </w:r>
      <w:r w:rsidRPr="00E60F03">
        <w:rPr>
          <w:sz w:val="20"/>
          <w:szCs w:val="20"/>
        </w:rPr>
        <w:t xml:space="preserve"> del Comité de Aseguramiento de la Calidad.</w:t>
      </w:r>
    </w:p>
    <w:p w14:paraId="2BAA2E0A" w14:textId="77E01374" w:rsidR="00830A04" w:rsidRDefault="00830A04" w:rsidP="00830A04">
      <w:pPr>
        <w:pStyle w:val="Prrafodelista"/>
        <w:spacing w:after="0"/>
        <w:ind w:left="360"/>
        <w:jc w:val="both"/>
        <w:rPr>
          <w:sz w:val="20"/>
          <w:szCs w:val="20"/>
        </w:rPr>
      </w:pPr>
      <w:r>
        <w:rPr>
          <w:sz w:val="20"/>
          <w:szCs w:val="20"/>
        </w:rPr>
        <w:t>D</w:t>
      </w:r>
      <w:r w:rsidRPr="00830A04">
        <w:rPr>
          <w:sz w:val="20"/>
          <w:szCs w:val="20"/>
        </w:rPr>
        <w:t>e acuerdo con lo establecido en</w:t>
      </w:r>
      <w:r>
        <w:rPr>
          <w:sz w:val="20"/>
          <w:szCs w:val="20"/>
        </w:rPr>
        <w:t xml:space="preserve"> esta</w:t>
      </w:r>
      <w:r w:rsidRPr="00830A04">
        <w:rPr>
          <w:sz w:val="20"/>
          <w:szCs w:val="20"/>
        </w:rPr>
        <w:t xml:space="preserve"> ficha técnica, </w:t>
      </w:r>
      <w:r>
        <w:rPr>
          <w:sz w:val="20"/>
          <w:szCs w:val="20"/>
        </w:rPr>
        <w:t xml:space="preserve">el indicador </w:t>
      </w:r>
      <w:r w:rsidRPr="00830A04">
        <w:rPr>
          <w:sz w:val="20"/>
          <w:szCs w:val="20"/>
        </w:rPr>
        <w:t>deberá ser reportado para uso interno por los responsables de pro</w:t>
      </w:r>
      <w:r>
        <w:rPr>
          <w:sz w:val="20"/>
          <w:szCs w:val="20"/>
        </w:rPr>
        <w:t>cesos de producción</w:t>
      </w:r>
      <w:r w:rsidRPr="00830A04">
        <w:rPr>
          <w:sz w:val="20"/>
          <w:szCs w:val="20"/>
        </w:rPr>
        <w:t xml:space="preserve"> de registros administrativos, considerando los siguientes puntos: </w:t>
      </w:r>
    </w:p>
    <w:p w14:paraId="38FE977D" w14:textId="77777777" w:rsidR="00830A04" w:rsidRPr="00830A04" w:rsidRDefault="00830A04" w:rsidP="00830A04">
      <w:pPr>
        <w:pStyle w:val="Prrafodelista"/>
        <w:spacing w:after="0"/>
        <w:ind w:left="360"/>
        <w:jc w:val="both"/>
        <w:rPr>
          <w:sz w:val="20"/>
          <w:szCs w:val="20"/>
        </w:rPr>
      </w:pPr>
    </w:p>
    <w:p w14:paraId="5F673C42" w14:textId="61EC504E" w:rsidR="00830A04" w:rsidRDefault="00830A04" w:rsidP="00830A04">
      <w:pPr>
        <w:pStyle w:val="Prrafodelista"/>
        <w:numPr>
          <w:ilvl w:val="0"/>
          <w:numId w:val="13"/>
        </w:numPr>
        <w:spacing w:after="0"/>
        <w:jc w:val="both"/>
        <w:rPr>
          <w:sz w:val="20"/>
          <w:szCs w:val="20"/>
        </w:rPr>
      </w:pPr>
      <w:r>
        <w:rPr>
          <w:sz w:val="20"/>
          <w:szCs w:val="20"/>
        </w:rPr>
        <w:t>E</w:t>
      </w:r>
      <w:r w:rsidRPr="00830A04">
        <w:rPr>
          <w:sz w:val="20"/>
          <w:szCs w:val="20"/>
        </w:rPr>
        <w:t>l reporte se deberá realizar a más tardar a los 30 días naturales contados a partir de la publicación de la información del pro</w:t>
      </w:r>
      <w:r w:rsidR="00F1465C">
        <w:rPr>
          <w:sz w:val="20"/>
          <w:szCs w:val="20"/>
        </w:rPr>
        <w:t>ceso de producción</w:t>
      </w:r>
      <w:r w:rsidRPr="00830A04">
        <w:rPr>
          <w:sz w:val="20"/>
          <w:szCs w:val="20"/>
        </w:rPr>
        <w:t>,</w:t>
      </w:r>
    </w:p>
    <w:p w14:paraId="3AB4F6BF" w14:textId="42695ED0" w:rsidR="00830A04" w:rsidRPr="00830A04" w:rsidRDefault="00830A04" w:rsidP="00830A04">
      <w:pPr>
        <w:pStyle w:val="Prrafodelista"/>
        <w:spacing w:after="0"/>
        <w:ind w:left="360"/>
        <w:jc w:val="both"/>
        <w:rPr>
          <w:sz w:val="20"/>
          <w:szCs w:val="20"/>
        </w:rPr>
      </w:pPr>
      <w:r w:rsidRPr="00830A04">
        <w:rPr>
          <w:sz w:val="20"/>
          <w:szCs w:val="20"/>
        </w:rPr>
        <w:t xml:space="preserve"> </w:t>
      </w:r>
    </w:p>
    <w:p w14:paraId="4B6AD14E" w14:textId="2980F391" w:rsidR="00830A04" w:rsidRDefault="00830A04" w:rsidP="00830A04">
      <w:pPr>
        <w:pStyle w:val="Prrafodelista"/>
        <w:numPr>
          <w:ilvl w:val="0"/>
          <w:numId w:val="13"/>
        </w:numPr>
        <w:spacing w:after="0"/>
        <w:jc w:val="both"/>
        <w:rPr>
          <w:sz w:val="20"/>
          <w:szCs w:val="20"/>
        </w:rPr>
      </w:pPr>
      <w:r>
        <w:rPr>
          <w:sz w:val="20"/>
          <w:szCs w:val="20"/>
        </w:rPr>
        <w:t>S</w:t>
      </w:r>
      <w:r w:rsidRPr="00830A04">
        <w:rPr>
          <w:sz w:val="20"/>
          <w:szCs w:val="20"/>
        </w:rPr>
        <w:t xml:space="preserve">e deberá usar el formato definido por el Grupo de Trabajo, </w:t>
      </w:r>
    </w:p>
    <w:p w14:paraId="1134C99F" w14:textId="77777777" w:rsidR="00830A04" w:rsidRPr="00830A04" w:rsidRDefault="00830A04" w:rsidP="00830A04">
      <w:pPr>
        <w:spacing w:after="0"/>
        <w:jc w:val="both"/>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66FE71E2" w:rsidR="00E60F03" w:rsidRDefault="00830A04" w:rsidP="00690384">
      <w:pPr>
        <w:pStyle w:val="Prrafodelista"/>
        <w:spacing w:after="0"/>
        <w:ind w:left="360"/>
        <w:jc w:val="both"/>
        <w:rPr>
          <w:sz w:val="20"/>
          <w:szCs w:val="20"/>
        </w:rPr>
      </w:pPr>
      <w:r w:rsidRPr="00830A04">
        <w:rPr>
          <w:sz w:val="20"/>
          <w:szCs w:val="20"/>
        </w:rPr>
        <w:t>Se calculará y reportará para todos los pro</w:t>
      </w:r>
      <w:r>
        <w:rPr>
          <w:sz w:val="20"/>
          <w:szCs w:val="20"/>
        </w:rPr>
        <w:t>cesos de producción</w:t>
      </w:r>
      <w:r w:rsidRPr="00830A04">
        <w:rPr>
          <w:sz w:val="20"/>
          <w:szCs w:val="20"/>
        </w:rPr>
        <w:t xml:space="preserve"> cuyo insumo sólo son registros admini</w:t>
      </w:r>
      <w:r>
        <w:rPr>
          <w:sz w:val="20"/>
          <w:szCs w:val="20"/>
        </w:rPr>
        <w:t>s</w:t>
      </w:r>
      <w:r w:rsidRPr="00830A04">
        <w:rPr>
          <w:sz w:val="20"/>
          <w:szCs w:val="20"/>
        </w:rPr>
        <w:t>trativos que se publiquen a partir del segundo semestre de 2019.</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49413C8E" w:rsidR="009935FA" w:rsidRDefault="00830A04" w:rsidP="00830A04">
      <w:pPr>
        <w:pStyle w:val="Prrafodelista"/>
        <w:spacing w:after="0"/>
        <w:ind w:left="360"/>
        <w:jc w:val="both"/>
        <w:rPr>
          <w:b/>
          <w:bCs/>
          <w:sz w:val="20"/>
          <w:szCs w:val="20"/>
        </w:rPr>
      </w:pPr>
      <w:r w:rsidRPr="00830A04">
        <w:rPr>
          <w:sz w:val="20"/>
          <w:szCs w:val="20"/>
        </w:rPr>
        <w:t>Uso interno. La tasa de sobrecobertura permite a los responsables del pro</w:t>
      </w:r>
      <w:r>
        <w:rPr>
          <w:sz w:val="20"/>
          <w:szCs w:val="20"/>
        </w:rPr>
        <w:t>ceso de producción</w:t>
      </w:r>
      <w:r w:rsidRPr="00830A04">
        <w:rPr>
          <w:sz w:val="20"/>
          <w:szCs w:val="20"/>
        </w:rPr>
        <w:t xml:space="preserve"> tener elementos para retroalimentar a los responsables de los registros administrativos con la finalidad, por ejemplo, de reducir el número de duplicados o mejorar la oportunidad con la que se actualizan los registros</w:t>
      </w:r>
      <w:r w:rsidR="009935FA">
        <w:rPr>
          <w:sz w:val="20"/>
          <w:szCs w:val="20"/>
        </w:rPr>
        <w:t>.</w:t>
      </w:r>
    </w:p>
    <w:p w14:paraId="577077BC" w14:textId="77777777" w:rsidR="009935FA" w:rsidRDefault="009935FA" w:rsidP="009935FA">
      <w:pPr>
        <w:pStyle w:val="Prrafodelista"/>
        <w:spacing w:after="0"/>
        <w:ind w:left="360"/>
        <w:rPr>
          <w:b/>
          <w:bCs/>
          <w:sz w:val="20"/>
          <w:szCs w:val="20"/>
        </w:rPr>
      </w:pPr>
    </w:p>
    <w:p w14:paraId="3C0BABB9" w14:textId="39F95622" w:rsidR="009935FA" w:rsidRDefault="009935FA" w:rsidP="009546E7">
      <w:pPr>
        <w:pStyle w:val="Prrafodelista"/>
        <w:numPr>
          <w:ilvl w:val="1"/>
          <w:numId w:val="2"/>
        </w:numPr>
        <w:spacing w:after="0"/>
        <w:rPr>
          <w:b/>
          <w:bCs/>
          <w:sz w:val="20"/>
          <w:szCs w:val="20"/>
        </w:rPr>
      </w:pPr>
      <w:r>
        <w:rPr>
          <w:b/>
          <w:bCs/>
          <w:sz w:val="20"/>
          <w:szCs w:val="20"/>
        </w:rPr>
        <w:t>Procesos estadísticos para los cuales no aplica el cálculo de este indicador:</w:t>
      </w:r>
    </w:p>
    <w:p w14:paraId="7FDA1C92" w14:textId="15EDAE33" w:rsidR="009935FA" w:rsidRDefault="009935FA" w:rsidP="00E60F03">
      <w:pPr>
        <w:pStyle w:val="Prrafodelista"/>
        <w:spacing w:after="0"/>
        <w:ind w:left="360"/>
        <w:rPr>
          <w:sz w:val="20"/>
          <w:szCs w:val="20"/>
        </w:rPr>
      </w:pPr>
      <w:r>
        <w:rPr>
          <w:sz w:val="20"/>
          <w:szCs w:val="20"/>
        </w:rPr>
        <w:t xml:space="preserve">Unidad de Estadisticas </w:t>
      </w:r>
      <w:r w:rsidR="00465D7E">
        <w:rPr>
          <w:sz w:val="20"/>
          <w:szCs w:val="20"/>
        </w:rPr>
        <w:t>Económicas</w:t>
      </w:r>
      <w:r>
        <w:rPr>
          <w:sz w:val="20"/>
          <w:szCs w:val="20"/>
        </w:rPr>
        <w:t xml:space="preserve">. Dirección de </w:t>
      </w:r>
      <w:r w:rsidR="00465D7E">
        <w:rPr>
          <w:sz w:val="20"/>
          <w:szCs w:val="20"/>
        </w:rPr>
        <w:t>Estadísticas Económicas de Registros Administrativos</w:t>
      </w:r>
      <w:r>
        <w:rPr>
          <w:sz w:val="20"/>
          <w:szCs w:val="20"/>
        </w:rPr>
        <w:t xml:space="preserve">. </w:t>
      </w:r>
    </w:p>
    <w:p w14:paraId="1079AAD0" w14:textId="77777777" w:rsidR="00465D7E" w:rsidRDefault="00465D7E" w:rsidP="009935FA">
      <w:pPr>
        <w:pStyle w:val="Prrafodelista"/>
        <w:numPr>
          <w:ilvl w:val="0"/>
          <w:numId w:val="9"/>
        </w:numPr>
        <w:spacing w:after="0"/>
        <w:ind w:left="851"/>
        <w:rPr>
          <w:sz w:val="20"/>
          <w:szCs w:val="20"/>
        </w:rPr>
      </w:pPr>
      <w:r>
        <w:rPr>
          <w:sz w:val="20"/>
          <w:szCs w:val="20"/>
        </w:rPr>
        <w:lastRenderedPageBreak/>
        <w:t>Industria Minerometalúrgica (EIMM)</w:t>
      </w:r>
    </w:p>
    <w:p w14:paraId="3575D060" w14:textId="3FB20AC4" w:rsidR="009935FA" w:rsidRDefault="00465D7E" w:rsidP="00DC62CD">
      <w:pPr>
        <w:pStyle w:val="Prrafodelista"/>
        <w:spacing w:after="0"/>
        <w:ind w:left="851"/>
        <w:jc w:val="both"/>
        <w:rPr>
          <w:sz w:val="20"/>
          <w:szCs w:val="20"/>
        </w:rPr>
      </w:pPr>
      <w:r>
        <w:rPr>
          <w:sz w:val="20"/>
          <w:szCs w:val="20"/>
        </w:rPr>
        <w:t xml:space="preserve">Justificación.- </w:t>
      </w:r>
      <w:r w:rsidRPr="00465D7E">
        <w:rPr>
          <w:sz w:val="20"/>
          <w:szCs w:val="20"/>
        </w:rPr>
        <w:t>El registro administrativo aprovechado estadísticamente por este pro</w:t>
      </w:r>
      <w:r w:rsidR="00E21470">
        <w:rPr>
          <w:sz w:val="20"/>
          <w:szCs w:val="20"/>
        </w:rPr>
        <w:t>ceso de producción</w:t>
      </w:r>
      <w:r w:rsidRPr="00465D7E">
        <w:rPr>
          <w:sz w:val="20"/>
          <w:szCs w:val="20"/>
        </w:rPr>
        <w:t xml:space="preserve"> es el Directorio de Empresas del Sector Minero Metalúrgico de la Secretaría de Economía, el cual sirve como marco para determinar el universo de la estadística. Bajo ese contexto, se determinó que este tipo de pro</w:t>
      </w:r>
      <w:r w:rsidR="00E21470">
        <w:rPr>
          <w:sz w:val="20"/>
          <w:szCs w:val="20"/>
        </w:rPr>
        <w:t>cesos de producción</w:t>
      </w:r>
      <w:r w:rsidRPr="00465D7E">
        <w:rPr>
          <w:sz w:val="20"/>
          <w:szCs w:val="20"/>
        </w:rPr>
        <w:t xml:space="preserve"> que usan el registro administrativo como marco del universo a captar deben de contar con IPE específicos que se plantearán a futuro por el CoAC.</w:t>
      </w:r>
      <w:r w:rsidR="009935FA">
        <w:rPr>
          <w:sz w:val="20"/>
          <w:szCs w:val="20"/>
        </w:rPr>
        <w:t xml:space="preserve"> </w:t>
      </w:r>
    </w:p>
    <w:p w14:paraId="6769BC32" w14:textId="7979EBA4" w:rsidR="009935FA" w:rsidRDefault="00465D7E" w:rsidP="00DC62CD">
      <w:pPr>
        <w:pStyle w:val="Prrafodelista"/>
        <w:numPr>
          <w:ilvl w:val="0"/>
          <w:numId w:val="9"/>
        </w:numPr>
        <w:spacing w:after="0"/>
        <w:ind w:left="851"/>
        <w:jc w:val="both"/>
        <w:rPr>
          <w:sz w:val="20"/>
          <w:szCs w:val="20"/>
        </w:rPr>
      </w:pPr>
      <w:r w:rsidRPr="00465D7E">
        <w:rPr>
          <w:sz w:val="20"/>
          <w:szCs w:val="20"/>
        </w:rPr>
        <w:t>Programa de la Industria Manufacturera, Maquiladora y de Servicios de Exportación (IMMEX)</w:t>
      </w:r>
    </w:p>
    <w:p w14:paraId="4493AC20" w14:textId="4881EFDD" w:rsidR="00465D7E" w:rsidRDefault="00465D7E" w:rsidP="00DC62CD">
      <w:pPr>
        <w:pStyle w:val="Prrafodelista"/>
        <w:spacing w:after="0"/>
        <w:ind w:left="851"/>
        <w:jc w:val="both"/>
        <w:rPr>
          <w:sz w:val="20"/>
          <w:szCs w:val="20"/>
        </w:rPr>
      </w:pPr>
      <w:r>
        <w:rPr>
          <w:sz w:val="20"/>
          <w:szCs w:val="20"/>
        </w:rPr>
        <w:t xml:space="preserve">Justificación.- </w:t>
      </w:r>
      <w:r w:rsidRPr="00465D7E">
        <w:rPr>
          <w:sz w:val="20"/>
          <w:szCs w:val="20"/>
        </w:rPr>
        <w:t>El registro administrativo aprovechado estadísticamente por este programa es el Directorio de Programas y Empresas IMMEX de la Secretaría de Economía, el cual sirve como marco para determinar el universo de la estadística. Bajo ese contexto, se determinó que este tipo de programas que usan el registro administrativo como marco del universo a captar deben de contar con IPE específicos que se plantearán conjuntamente con el CoAC.</w:t>
      </w:r>
    </w:p>
    <w:p w14:paraId="6612B712" w14:textId="77777777" w:rsidR="00465D7E" w:rsidRDefault="00465D7E" w:rsidP="00DC62CD">
      <w:pPr>
        <w:pStyle w:val="Prrafodelista"/>
        <w:numPr>
          <w:ilvl w:val="0"/>
          <w:numId w:val="9"/>
        </w:numPr>
        <w:spacing w:after="0"/>
        <w:ind w:left="851"/>
        <w:jc w:val="both"/>
        <w:rPr>
          <w:sz w:val="20"/>
          <w:szCs w:val="20"/>
        </w:rPr>
      </w:pPr>
      <w:r w:rsidRPr="00465D7E">
        <w:rPr>
          <w:sz w:val="20"/>
          <w:szCs w:val="20"/>
        </w:rPr>
        <w:t>Balanza Comercial de Mercancías de México (BCMM)</w:t>
      </w:r>
    </w:p>
    <w:p w14:paraId="7EF327B9" w14:textId="1F957100" w:rsidR="00DC62CD" w:rsidRDefault="00DC62CD" w:rsidP="00DC62CD">
      <w:pPr>
        <w:pStyle w:val="Prrafodelista"/>
        <w:spacing w:after="0"/>
        <w:ind w:left="851"/>
        <w:jc w:val="both"/>
        <w:rPr>
          <w:sz w:val="20"/>
          <w:szCs w:val="20"/>
        </w:rPr>
      </w:pPr>
      <w:r>
        <w:rPr>
          <w:sz w:val="20"/>
          <w:szCs w:val="20"/>
        </w:rPr>
        <w:t xml:space="preserve">Justificación.- </w:t>
      </w:r>
      <w:r w:rsidRPr="00DC62CD">
        <w:rPr>
          <w:sz w:val="20"/>
          <w:szCs w:val="20"/>
        </w:rPr>
        <w:t>El registro administrativo fuente son los registros de comercio exterior que provee el Servicio de Administración Tributaria, los cuales permiten determinar el marco estadístico de los pedimentos aduanales, por eso los IPE actuales no son aplicables y es necesario el diseño de indicadores específicos que se plantearán a futuro ante el CoAC.</w:t>
      </w:r>
    </w:p>
    <w:p w14:paraId="537EF578" w14:textId="05ABC65C" w:rsidR="00DC62CD" w:rsidRDefault="00DC62CD" w:rsidP="00DC62CD">
      <w:pPr>
        <w:pStyle w:val="Prrafodelista"/>
        <w:numPr>
          <w:ilvl w:val="0"/>
          <w:numId w:val="9"/>
        </w:numPr>
        <w:spacing w:after="0"/>
        <w:ind w:left="851"/>
        <w:jc w:val="both"/>
        <w:rPr>
          <w:sz w:val="20"/>
          <w:szCs w:val="20"/>
        </w:rPr>
      </w:pPr>
      <w:r w:rsidRPr="00DC62CD">
        <w:rPr>
          <w:sz w:val="20"/>
          <w:szCs w:val="20"/>
        </w:rPr>
        <w:t>Vinculación de Registros Administrativos (VRA)</w:t>
      </w:r>
    </w:p>
    <w:p w14:paraId="62429FB7" w14:textId="6A3CBD8C" w:rsidR="00DC62CD" w:rsidRDefault="00DC62CD" w:rsidP="00DC62CD">
      <w:pPr>
        <w:pStyle w:val="Prrafodelista"/>
        <w:spacing w:after="0"/>
        <w:ind w:left="851"/>
        <w:jc w:val="both"/>
        <w:rPr>
          <w:sz w:val="20"/>
          <w:szCs w:val="20"/>
        </w:rPr>
      </w:pPr>
      <w:r>
        <w:rPr>
          <w:sz w:val="20"/>
          <w:szCs w:val="20"/>
        </w:rPr>
        <w:t xml:space="preserve">Justificación.- </w:t>
      </w:r>
      <w:r w:rsidRPr="00DC62CD">
        <w:rPr>
          <w:sz w:val="20"/>
          <w:szCs w:val="20"/>
        </w:rPr>
        <w:t>Los resultados de la vinculación estadística se obtienen a partir del uso de diversos pro</w:t>
      </w:r>
      <w:r w:rsidR="00E21470">
        <w:rPr>
          <w:sz w:val="20"/>
          <w:szCs w:val="20"/>
        </w:rPr>
        <w:t>cesos de producción</w:t>
      </w:r>
      <w:r w:rsidRPr="00DC62CD">
        <w:rPr>
          <w:sz w:val="20"/>
          <w:szCs w:val="20"/>
        </w:rPr>
        <w:t xml:space="preserve"> del INEGI (RENEM, Encuestas Económicas, Censos Económicos, Registros Administrativos, principalmente), por lo que los IPE actuales no son aplicables y es necesario evaluar con el CoAC, la elaboración de indicadores específicos.</w:t>
      </w:r>
    </w:p>
    <w:p w14:paraId="47274D35" w14:textId="3F03D639" w:rsidR="009935FA" w:rsidRDefault="00DC62CD" w:rsidP="00DC62CD">
      <w:pPr>
        <w:pStyle w:val="Prrafodelista"/>
        <w:numPr>
          <w:ilvl w:val="0"/>
          <w:numId w:val="9"/>
        </w:numPr>
        <w:spacing w:after="0"/>
        <w:ind w:left="851"/>
        <w:jc w:val="both"/>
        <w:rPr>
          <w:sz w:val="20"/>
          <w:szCs w:val="20"/>
        </w:rPr>
      </w:pPr>
      <w:r w:rsidRPr="00DC62CD">
        <w:rPr>
          <w:sz w:val="20"/>
          <w:szCs w:val="20"/>
        </w:rPr>
        <w:t>Estadísticas de Comercio Internacional de Servicios y Digitalización (RAECIS)</w:t>
      </w:r>
    </w:p>
    <w:p w14:paraId="19ABB06B" w14:textId="4EBFA212" w:rsidR="00DC62CD" w:rsidRDefault="00DC62CD" w:rsidP="00DC62CD">
      <w:pPr>
        <w:pStyle w:val="Prrafodelista"/>
        <w:spacing w:after="0"/>
        <w:ind w:left="851"/>
        <w:jc w:val="both"/>
        <w:rPr>
          <w:sz w:val="20"/>
          <w:szCs w:val="20"/>
        </w:rPr>
      </w:pPr>
      <w:r>
        <w:rPr>
          <w:sz w:val="20"/>
          <w:szCs w:val="20"/>
        </w:rPr>
        <w:t xml:space="preserve">Justificación.- </w:t>
      </w:r>
      <w:r w:rsidRPr="00DC62CD">
        <w:rPr>
          <w:sz w:val="20"/>
          <w:szCs w:val="20"/>
        </w:rPr>
        <w:t>Esta estadística se encuentra en la fase de diseño, por lo que por el momento no se cuenta con IPE; sin embargo, en un futuro se evaluará plantear al CoAC el desarrollo de IPE al ser un pro</w:t>
      </w:r>
      <w:r w:rsidR="00E21470">
        <w:rPr>
          <w:sz w:val="20"/>
          <w:szCs w:val="20"/>
        </w:rPr>
        <w:t>ceso de producción</w:t>
      </w:r>
      <w:r w:rsidRPr="00DC62CD">
        <w:rPr>
          <w:sz w:val="20"/>
          <w:szCs w:val="20"/>
        </w:rPr>
        <w:t xml:space="preserve"> que se alimentará de diversas fuentes de registros administrativos.</w:t>
      </w:r>
    </w:p>
    <w:p w14:paraId="2A6D66DD" w14:textId="54C56902" w:rsidR="00DC62CD" w:rsidRDefault="00DC62CD" w:rsidP="00DC62CD">
      <w:pPr>
        <w:pStyle w:val="Prrafodelista"/>
        <w:numPr>
          <w:ilvl w:val="0"/>
          <w:numId w:val="9"/>
        </w:numPr>
        <w:spacing w:after="0"/>
        <w:ind w:left="851"/>
        <w:jc w:val="both"/>
        <w:rPr>
          <w:sz w:val="20"/>
          <w:szCs w:val="20"/>
        </w:rPr>
      </w:pPr>
      <w:r w:rsidRPr="00DC62CD">
        <w:rPr>
          <w:sz w:val="20"/>
          <w:szCs w:val="20"/>
        </w:rPr>
        <w:t>Registro Estadístico de Negocios de México (RENEM)</w:t>
      </w:r>
    </w:p>
    <w:p w14:paraId="0E8D5128" w14:textId="705A523B" w:rsidR="00DC62CD" w:rsidRDefault="00DC62CD" w:rsidP="00DC62CD">
      <w:pPr>
        <w:pStyle w:val="Prrafodelista"/>
        <w:spacing w:after="0"/>
        <w:ind w:left="851"/>
        <w:jc w:val="both"/>
        <w:rPr>
          <w:sz w:val="20"/>
          <w:szCs w:val="20"/>
        </w:rPr>
      </w:pPr>
      <w:r>
        <w:rPr>
          <w:sz w:val="20"/>
          <w:szCs w:val="20"/>
        </w:rPr>
        <w:t xml:space="preserve">Justificación.- </w:t>
      </w:r>
      <w:r w:rsidRPr="00DC62CD">
        <w:rPr>
          <w:sz w:val="20"/>
          <w:szCs w:val="20"/>
        </w:rPr>
        <w:t>Los IPE actuales no son aplicables al RENEM, ya que este pro</w:t>
      </w:r>
      <w:r w:rsidR="009E4E85">
        <w:rPr>
          <w:sz w:val="20"/>
          <w:szCs w:val="20"/>
        </w:rPr>
        <w:t>grama</w:t>
      </w:r>
      <w:r w:rsidRPr="00DC62CD">
        <w:rPr>
          <w:sz w:val="20"/>
          <w:szCs w:val="20"/>
        </w:rPr>
        <w:t xml:space="preserve"> no es un registro administrativo. En el CoAC se determinó que este tipo de pro</w:t>
      </w:r>
      <w:r w:rsidR="009E4E85">
        <w:rPr>
          <w:sz w:val="20"/>
          <w:szCs w:val="20"/>
        </w:rPr>
        <w:t>gramas</w:t>
      </w:r>
      <w:r w:rsidRPr="00DC62CD">
        <w:rPr>
          <w:sz w:val="20"/>
          <w:szCs w:val="20"/>
        </w:rPr>
        <w:t xml:space="preserve"> deben contar con IPE específicos que serán planteados en un futuro.</w:t>
      </w:r>
    </w:p>
    <w:p w14:paraId="2EC33782" w14:textId="245AAEF8" w:rsidR="00DC62CD" w:rsidRDefault="00DC62CD" w:rsidP="00DC62CD">
      <w:pPr>
        <w:pStyle w:val="Prrafodelista"/>
        <w:numPr>
          <w:ilvl w:val="0"/>
          <w:numId w:val="9"/>
        </w:numPr>
        <w:spacing w:after="0"/>
        <w:ind w:left="851"/>
        <w:jc w:val="both"/>
        <w:rPr>
          <w:sz w:val="20"/>
          <w:szCs w:val="20"/>
        </w:rPr>
      </w:pPr>
      <w:r w:rsidRPr="00DC62CD">
        <w:rPr>
          <w:sz w:val="20"/>
          <w:szCs w:val="20"/>
        </w:rPr>
        <w:t>Estadísticas de Comercio Internacional de Servicios y Digitalización (EDI)</w:t>
      </w:r>
    </w:p>
    <w:p w14:paraId="35545B94" w14:textId="622EA290" w:rsidR="00DC62CD" w:rsidRDefault="00DC62CD" w:rsidP="00DC62CD">
      <w:pPr>
        <w:pStyle w:val="Prrafodelista"/>
        <w:spacing w:after="0"/>
        <w:ind w:left="851"/>
        <w:jc w:val="both"/>
        <w:rPr>
          <w:sz w:val="20"/>
          <w:szCs w:val="20"/>
        </w:rPr>
      </w:pPr>
      <w:r>
        <w:rPr>
          <w:sz w:val="20"/>
          <w:szCs w:val="20"/>
        </w:rPr>
        <w:t xml:space="preserve">Justificación.- </w:t>
      </w:r>
      <w:r w:rsidRPr="00DC62CD">
        <w:rPr>
          <w:sz w:val="20"/>
          <w:szCs w:val="20"/>
        </w:rPr>
        <w:t>Los IPE actuales no son aplicables al EDI, ya que este pro</w:t>
      </w:r>
      <w:r w:rsidR="009E4E85">
        <w:rPr>
          <w:sz w:val="20"/>
          <w:szCs w:val="20"/>
        </w:rPr>
        <w:t>grama</w:t>
      </w:r>
      <w:r w:rsidRPr="00DC62CD">
        <w:rPr>
          <w:sz w:val="20"/>
          <w:szCs w:val="20"/>
        </w:rPr>
        <w:t xml:space="preserve"> no es un registro administrativo; cabe señalar que se trata de un pro</w:t>
      </w:r>
      <w:r w:rsidR="009E4E85">
        <w:rPr>
          <w:sz w:val="20"/>
          <w:szCs w:val="20"/>
        </w:rPr>
        <w:t>grama</w:t>
      </w:r>
      <w:r>
        <w:rPr>
          <w:sz w:val="20"/>
          <w:szCs w:val="20"/>
        </w:rPr>
        <w:t xml:space="preserve"> </w:t>
      </w:r>
      <w:r w:rsidRPr="00DC62CD">
        <w:rPr>
          <w:sz w:val="20"/>
          <w:szCs w:val="20"/>
        </w:rPr>
        <w:t>de Estadística Experimental.</w:t>
      </w:r>
    </w:p>
    <w:p w14:paraId="560A29A4" w14:textId="77777777" w:rsidR="00465D7E" w:rsidRDefault="00465D7E" w:rsidP="00465D7E">
      <w:pPr>
        <w:pStyle w:val="Prrafodelista"/>
        <w:rPr>
          <w:sz w:val="20"/>
          <w:szCs w:val="20"/>
        </w:rPr>
      </w:pPr>
    </w:p>
    <w:p w14:paraId="468D031A" w14:textId="77777777" w:rsidR="00CC4C5F" w:rsidRDefault="00CC4C5F" w:rsidP="00465D7E">
      <w:pPr>
        <w:pStyle w:val="Prrafodelista"/>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2239C809" w14:textId="77777777" w:rsidR="00CC4C5F" w:rsidRDefault="00DC62CD" w:rsidP="00CC4C5F">
      <w:pPr>
        <w:pStyle w:val="Prrafodelista"/>
        <w:numPr>
          <w:ilvl w:val="0"/>
          <w:numId w:val="9"/>
        </w:numPr>
        <w:spacing w:after="0"/>
        <w:ind w:left="851"/>
        <w:rPr>
          <w:sz w:val="20"/>
          <w:szCs w:val="20"/>
        </w:rPr>
      </w:pPr>
      <w:r w:rsidRPr="00DC62CD">
        <w:rPr>
          <w:sz w:val="20"/>
          <w:szCs w:val="20"/>
        </w:rPr>
        <w:t>Eurostat.</w:t>
      </w:r>
      <w:r w:rsidR="00CC4C5F">
        <w:rPr>
          <w:sz w:val="20"/>
          <w:szCs w:val="20"/>
        </w:rPr>
        <w:t xml:space="preserve"> </w:t>
      </w:r>
      <w:r w:rsidRPr="00DC62CD">
        <w:rPr>
          <w:sz w:val="20"/>
          <w:szCs w:val="20"/>
        </w:rPr>
        <w:t>ESS handbook for quality reports. 2014.  Páginas 122‐123.</w:t>
      </w:r>
    </w:p>
    <w:p w14:paraId="47FD336F" w14:textId="14F61DF1" w:rsidR="00CC4C5F" w:rsidRPr="00CC4C5F" w:rsidRDefault="00CC4C5F" w:rsidP="00CC4C5F">
      <w:pPr>
        <w:pStyle w:val="Prrafodelista"/>
        <w:spacing w:after="0"/>
        <w:ind w:left="851"/>
        <w:rPr>
          <w:sz w:val="20"/>
          <w:szCs w:val="20"/>
        </w:rPr>
      </w:pPr>
      <w:r w:rsidRPr="00CC4C5F">
        <w:rPr>
          <w:rStyle w:val="Hipervnculo"/>
          <w:sz w:val="20"/>
          <w:szCs w:val="20"/>
        </w:rPr>
        <w:t>http://ec.europa.eu/eurostat/documents/ 3859598/6651706/KS‐GQ‐15‐003‐EN‐N.pdf</w:t>
      </w:r>
    </w:p>
    <w:p w14:paraId="066D9BA9" w14:textId="77777777" w:rsidR="00CC4C5F" w:rsidRPr="00CC4C5F" w:rsidRDefault="00DC62CD" w:rsidP="00CC4C5F">
      <w:pPr>
        <w:pStyle w:val="Prrafodelista"/>
        <w:numPr>
          <w:ilvl w:val="0"/>
          <w:numId w:val="10"/>
        </w:numPr>
        <w:spacing w:after="0"/>
        <w:ind w:left="851"/>
        <w:jc w:val="both"/>
        <w:rPr>
          <w:sz w:val="20"/>
          <w:szCs w:val="20"/>
        </w:rPr>
      </w:pPr>
      <w:r>
        <w:rPr>
          <w:sz w:val="20"/>
          <w:szCs w:val="20"/>
        </w:rPr>
        <w:t xml:space="preserve"> </w:t>
      </w:r>
      <w:r w:rsidR="00CC4C5F" w:rsidRPr="00CC4C5F">
        <w:rPr>
          <w:sz w:val="20"/>
          <w:szCs w:val="20"/>
        </w:rPr>
        <w:t>United Nations Economic Commission for Europe (UNECE)</w:t>
      </w:r>
      <w:r w:rsidR="00CC4C5F">
        <w:rPr>
          <w:sz w:val="20"/>
          <w:szCs w:val="20"/>
        </w:rPr>
        <w:t xml:space="preserve">. </w:t>
      </w:r>
      <w:r w:rsidR="00CC4C5F" w:rsidRPr="00CC4C5F">
        <w:rPr>
          <w:sz w:val="20"/>
          <w:szCs w:val="20"/>
        </w:rPr>
        <w:t>Quality Indicators for the Generic Statistical Business Process Model (GSBPM) ‐ For Statistics derived from Surveys and Administrative Data Sources. 2017.</w:t>
      </w:r>
    </w:p>
    <w:p w14:paraId="0F0DD2D4" w14:textId="71DA2ECF" w:rsidR="009935FA" w:rsidRPr="00CC4C5F" w:rsidRDefault="00CC4C5F" w:rsidP="00CC4C5F">
      <w:pPr>
        <w:pStyle w:val="Prrafodelista"/>
        <w:spacing w:after="0"/>
        <w:ind w:left="851"/>
        <w:jc w:val="both"/>
        <w:rPr>
          <w:rStyle w:val="Hipervnculo"/>
          <w:sz w:val="20"/>
          <w:szCs w:val="20"/>
        </w:rPr>
      </w:pPr>
      <w:r w:rsidRPr="00CC4C5F">
        <w:rPr>
          <w:rStyle w:val="Hipervnculo"/>
          <w:sz w:val="20"/>
          <w:szCs w:val="20"/>
        </w:rPr>
        <w:t xml:space="preserve">https://statswiki.unece.org/download/attachments/185794796/Quality%20Indicators %20for%20the%20GSBPM%20%20For%20Statistics%20derived%20from% 20Surveys%20and%20Administrative%20D ata%20Sources_Final.pdf?api=v2 </w:t>
      </w:r>
    </w:p>
    <w:p w14:paraId="5A86C7CE" w14:textId="29C8441B" w:rsidR="009935FA" w:rsidRPr="00CC4C5F" w:rsidRDefault="009935FA" w:rsidP="00CC4C5F">
      <w:pPr>
        <w:pStyle w:val="Prrafodelista"/>
        <w:spacing w:after="0"/>
        <w:ind w:left="851"/>
        <w:jc w:val="both"/>
        <w:rPr>
          <w:sz w:val="20"/>
          <w:szCs w:val="20"/>
        </w:rPr>
      </w:pPr>
    </w:p>
    <w:p w14:paraId="6AA5AD78" w14:textId="77777777" w:rsidR="00DC62CD" w:rsidRDefault="00DC62CD" w:rsidP="00DC62CD">
      <w:pPr>
        <w:spacing w:after="0"/>
        <w:rPr>
          <w:sz w:val="20"/>
          <w:szCs w:val="20"/>
        </w:rPr>
      </w:pPr>
    </w:p>
    <w:p w14:paraId="3EB66765" w14:textId="77777777" w:rsidR="00536217" w:rsidRDefault="00536217" w:rsidP="00DC62CD">
      <w:pPr>
        <w:spacing w:after="0"/>
        <w:rPr>
          <w:sz w:val="20"/>
          <w:szCs w:val="20"/>
        </w:rPr>
      </w:pPr>
    </w:p>
    <w:p w14:paraId="3407AC9B" w14:textId="77777777" w:rsidR="009935FA" w:rsidRPr="00E60F03" w:rsidRDefault="009935FA" w:rsidP="00E60F03">
      <w:pPr>
        <w:pStyle w:val="Prrafodelista"/>
        <w:spacing w:after="0"/>
        <w:ind w:left="360"/>
        <w:rPr>
          <w:sz w:val="20"/>
          <w:szCs w:val="20"/>
        </w:rPr>
      </w:pPr>
    </w:p>
    <w:p w14:paraId="5E2D69CE" w14:textId="5EBAF34F" w:rsidR="00E60F03" w:rsidRDefault="007B2580" w:rsidP="009546E7">
      <w:pPr>
        <w:pStyle w:val="Prrafodelista"/>
        <w:numPr>
          <w:ilvl w:val="1"/>
          <w:numId w:val="2"/>
        </w:numPr>
        <w:spacing w:after="0"/>
        <w:rPr>
          <w:b/>
          <w:bCs/>
          <w:sz w:val="20"/>
          <w:szCs w:val="20"/>
        </w:rPr>
      </w:pPr>
      <w:r>
        <w:rPr>
          <w:b/>
          <w:bCs/>
          <w:sz w:val="20"/>
          <w:szCs w:val="20"/>
        </w:rPr>
        <w:lastRenderedPageBreak/>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1A63A024"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CC4C5F">
        <w:rPr>
          <w:sz w:val="20"/>
          <w:szCs w:val="20"/>
        </w:rPr>
        <w:t>registros administrativos</w:t>
      </w:r>
      <w:r w:rsidRPr="00A50F8D">
        <w:rPr>
          <w:sz w:val="20"/>
          <w:szCs w:val="20"/>
        </w:rPr>
        <w:t>.</w:t>
      </w:r>
    </w:p>
    <w:p w14:paraId="3CD97849" w14:textId="0D3925F0" w:rsidR="00A1677B" w:rsidRPr="00A1677B" w:rsidRDefault="00A1677B" w:rsidP="00E60F03">
      <w:pPr>
        <w:pStyle w:val="Prrafodelista"/>
        <w:spacing w:after="0"/>
        <w:ind w:left="360"/>
        <w:rPr>
          <w:sz w:val="20"/>
          <w:szCs w:val="20"/>
        </w:rPr>
      </w:pPr>
      <w:r w:rsidRPr="00A1677B">
        <w:rPr>
          <w:sz w:val="20"/>
          <w:szCs w:val="20"/>
        </w:rPr>
        <w:t>Enrique de Alba, Vicepresidente del INEGI</w:t>
      </w:r>
    </w:p>
    <w:p w14:paraId="70B001BA" w14:textId="796E3B09" w:rsidR="00464252" w:rsidRPr="00464252" w:rsidRDefault="00A50F8D" w:rsidP="00E60F03">
      <w:pPr>
        <w:pStyle w:val="Prrafodelista"/>
        <w:spacing w:after="0"/>
        <w:ind w:left="360"/>
        <w:rPr>
          <w:sz w:val="20"/>
          <w:szCs w:val="20"/>
        </w:rPr>
      </w:pPr>
      <w:r w:rsidRPr="00A50F8D">
        <w:rPr>
          <w:sz w:val="20"/>
          <w:szCs w:val="20"/>
        </w:rPr>
        <w:t>Gonzalo Pérez de la Cruz</w:t>
      </w:r>
      <w:r w:rsidR="00464252" w:rsidRPr="00464252">
        <w:rPr>
          <w:sz w:val="20"/>
          <w:szCs w:val="20"/>
        </w:rPr>
        <w:t>, director</w:t>
      </w:r>
      <w:r>
        <w:rPr>
          <w:sz w:val="20"/>
          <w:szCs w:val="20"/>
        </w:rPr>
        <w:t xml:space="preserve"> en la Coordinación de asesores</w:t>
      </w:r>
      <w:r w:rsidR="00464252" w:rsidRPr="00464252">
        <w:rPr>
          <w:sz w:val="20"/>
          <w:szCs w:val="20"/>
        </w:rPr>
        <w:t>.</w:t>
      </w:r>
    </w:p>
    <w:p w14:paraId="6C8EA146" w14:textId="70DD74D6" w:rsidR="00464252" w:rsidRDefault="00CC4C5F" w:rsidP="00A50F8D">
      <w:pPr>
        <w:pStyle w:val="Prrafodelista"/>
        <w:spacing w:after="0"/>
        <w:ind w:left="360"/>
        <w:rPr>
          <w:sz w:val="20"/>
          <w:szCs w:val="20"/>
        </w:rPr>
      </w:pPr>
      <w:r w:rsidRPr="00CC4C5F">
        <w:rPr>
          <w:sz w:val="20"/>
          <w:szCs w:val="20"/>
        </w:rPr>
        <w:t>Eric Rodríguez</w:t>
      </w:r>
      <w:r>
        <w:rPr>
          <w:sz w:val="20"/>
          <w:szCs w:val="20"/>
        </w:rPr>
        <w:t xml:space="preserve"> Herrera</w:t>
      </w:r>
      <w:r w:rsidRPr="00CC4C5F">
        <w:rPr>
          <w:sz w:val="20"/>
          <w:szCs w:val="20"/>
        </w:rPr>
        <w:t>, Director de Planeación de la Vicepresidencia (SNIDS)</w:t>
      </w:r>
      <w:r w:rsidR="00464252" w:rsidRPr="00464252">
        <w:rPr>
          <w:sz w:val="20"/>
          <w:szCs w:val="20"/>
        </w:rPr>
        <w:t>.</w:t>
      </w:r>
    </w:p>
    <w:p w14:paraId="3877D5AE" w14:textId="5C29E22C" w:rsidR="00A50F8D" w:rsidRDefault="00CC4C5F" w:rsidP="00A50F8D">
      <w:pPr>
        <w:pStyle w:val="Prrafodelista"/>
        <w:spacing w:after="0"/>
        <w:ind w:left="360"/>
        <w:rPr>
          <w:sz w:val="20"/>
          <w:szCs w:val="20"/>
        </w:rPr>
      </w:pPr>
      <w:r w:rsidRPr="00A1677B">
        <w:rPr>
          <w:sz w:val="20"/>
          <w:szCs w:val="20"/>
        </w:rPr>
        <w:t>Gerardo Durand Alcántara, Director General Adjunto de Registros Administrativos Económicos (DGEE)</w:t>
      </w:r>
      <w:r w:rsidR="00A50F8D">
        <w:rPr>
          <w:sz w:val="20"/>
          <w:szCs w:val="20"/>
        </w:rPr>
        <w:t>.</w:t>
      </w:r>
      <w:r w:rsidR="00A50F8D" w:rsidRPr="00A50F8D">
        <w:rPr>
          <w:sz w:val="20"/>
          <w:szCs w:val="20"/>
        </w:rPr>
        <w:t xml:space="preserve"> </w:t>
      </w:r>
    </w:p>
    <w:p w14:paraId="064E4508" w14:textId="0503C644" w:rsidR="00CC4C5F" w:rsidRPr="00A1677B" w:rsidRDefault="00A1677B" w:rsidP="00A1677B">
      <w:pPr>
        <w:pStyle w:val="NormalWeb"/>
        <w:spacing w:before="0" w:beforeAutospacing="0" w:after="0" w:afterAutospacing="0" w:line="256" w:lineRule="auto"/>
        <w:ind w:left="316"/>
        <w:rPr>
          <w:rFonts w:asciiTheme="minorHAnsi" w:eastAsiaTheme="minorHAnsi" w:hAnsiTheme="minorHAnsi" w:cstheme="minorBidi"/>
          <w:kern w:val="2"/>
          <w:sz w:val="20"/>
          <w:szCs w:val="20"/>
          <w:lang w:eastAsia="en-US"/>
          <w14:ligatures w14:val="standardContextual"/>
        </w:rPr>
      </w:pPr>
      <w:r>
        <w:rPr>
          <w:rFonts w:asciiTheme="minorHAnsi" w:eastAsiaTheme="minorHAnsi" w:hAnsiTheme="minorHAnsi" w:cstheme="minorBidi"/>
          <w:kern w:val="2"/>
          <w:sz w:val="20"/>
          <w:szCs w:val="20"/>
          <w:lang w:eastAsia="en-US"/>
          <w14:ligatures w14:val="standardContextual"/>
        </w:rPr>
        <w:t xml:space="preserve"> </w:t>
      </w:r>
      <w:r w:rsidR="00CC4C5F" w:rsidRPr="00A1677B">
        <w:rPr>
          <w:rFonts w:asciiTheme="minorHAnsi" w:eastAsiaTheme="minorHAnsi" w:hAnsiTheme="minorHAnsi" w:cstheme="minorBidi"/>
          <w:kern w:val="2"/>
          <w:sz w:val="20"/>
          <w:szCs w:val="20"/>
          <w:lang w:eastAsia="en-US"/>
          <w14:ligatures w14:val="standardContextual"/>
        </w:rPr>
        <w:t>Lázaro Trujillo Hernández, Director de Estadísticas Económicas de Registros Administrativos (DGEE)</w:t>
      </w:r>
    </w:p>
    <w:p w14:paraId="3633671F" w14:textId="3A9FCD89" w:rsidR="00A50F8D" w:rsidRDefault="00A1677B" w:rsidP="00DF5B40">
      <w:pPr>
        <w:pStyle w:val="Prrafodelista"/>
        <w:spacing w:after="0"/>
        <w:ind w:left="360"/>
        <w:rPr>
          <w:sz w:val="20"/>
          <w:szCs w:val="20"/>
        </w:rPr>
      </w:pPr>
      <w:r w:rsidRPr="00A1677B">
        <w:rPr>
          <w:sz w:val="20"/>
          <w:szCs w:val="20"/>
        </w:rPr>
        <w:t>Hugo Hernández Ramos, Dirección de Vinculación Estadística de Registros Administrativos (DGEE)</w:t>
      </w:r>
      <w:r w:rsidR="00DF5B40">
        <w:rPr>
          <w:sz w:val="20"/>
          <w:szCs w:val="20"/>
        </w:rPr>
        <w:t>.</w:t>
      </w:r>
    </w:p>
    <w:p w14:paraId="6685A7ED" w14:textId="22D42A5F" w:rsidR="00DF5B40" w:rsidRDefault="00A1677B" w:rsidP="00DF5B40">
      <w:pPr>
        <w:pStyle w:val="Prrafodelista"/>
        <w:spacing w:after="0"/>
        <w:ind w:left="360"/>
        <w:rPr>
          <w:sz w:val="20"/>
          <w:szCs w:val="20"/>
        </w:rPr>
      </w:pPr>
      <w:r w:rsidRPr="00A1677B">
        <w:rPr>
          <w:sz w:val="20"/>
          <w:szCs w:val="20"/>
        </w:rPr>
        <w:t>Toribio Sánchez Navarrete, Director de Proyectos de Registros Administrativos Sociodemográficos (DGES)</w:t>
      </w:r>
      <w:r w:rsidR="00DF5B40">
        <w:rPr>
          <w:sz w:val="20"/>
          <w:szCs w:val="20"/>
        </w:rPr>
        <w:t>.</w:t>
      </w:r>
    </w:p>
    <w:p w14:paraId="0D88A345" w14:textId="0A75AC9B" w:rsidR="00DF5B40" w:rsidRDefault="00A1677B" w:rsidP="00DF5B40">
      <w:pPr>
        <w:pStyle w:val="Prrafodelista"/>
        <w:spacing w:after="0"/>
        <w:ind w:left="360"/>
        <w:rPr>
          <w:sz w:val="20"/>
          <w:szCs w:val="20"/>
        </w:rPr>
      </w:pPr>
      <w:r w:rsidRPr="00A1677B">
        <w:rPr>
          <w:sz w:val="20"/>
          <w:szCs w:val="20"/>
        </w:rPr>
        <w:t>Armando Islas Delgadillo, Director de Censos Nacionales de Gobierno (DGEGSPJ)</w:t>
      </w:r>
      <w:r w:rsidR="00DF5B40">
        <w:rPr>
          <w:sz w:val="20"/>
          <w:szCs w:val="20"/>
        </w:rPr>
        <w:t>.</w:t>
      </w:r>
    </w:p>
    <w:p w14:paraId="6C5EC231" w14:textId="53E1E392" w:rsidR="00DF5B40" w:rsidRDefault="00A1677B" w:rsidP="00DF5B40">
      <w:pPr>
        <w:pStyle w:val="Prrafodelista"/>
        <w:spacing w:after="0"/>
        <w:ind w:left="360"/>
        <w:rPr>
          <w:sz w:val="20"/>
          <w:szCs w:val="20"/>
        </w:rPr>
      </w:pPr>
      <w:r w:rsidRPr="00A1677B">
        <w:rPr>
          <w:sz w:val="20"/>
          <w:szCs w:val="20"/>
        </w:rPr>
        <w:t>Jorge Alberto Plascencia Martínez, Subdirector de Procesamiento de Información de Censos Nacionales de Gobierno (DGEGSPJ)</w:t>
      </w:r>
      <w:r w:rsidR="00DF5B40">
        <w:rPr>
          <w:sz w:val="20"/>
          <w:szCs w:val="20"/>
        </w:rPr>
        <w:t>.</w:t>
      </w:r>
    </w:p>
    <w:p w14:paraId="145E06ED" w14:textId="1BE42B83" w:rsidR="00DF5B40" w:rsidRDefault="00A1677B" w:rsidP="00DF5B40">
      <w:pPr>
        <w:pStyle w:val="Prrafodelista"/>
        <w:spacing w:after="0"/>
        <w:ind w:left="360"/>
        <w:rPr>
          <w:sz w:val="20"/>
          <w:szCs w:val="20"/>
        </w:rPr>
      </w:pPr>
      <w:r w:rsidRPr="00A1677B">
        <w:rPr>
          <w:sz w:val="20"/>
          <w:szCs w:val="20"/>
        </w:rPr>
        <w:t>Carlos Mauricio García Ramírez, Subdirector de Investigación y Resguardo de Información Gubernamental (DGEGSPJ)</w:t>
      </w:r>
      <w:r w:rsidR="00DF5B40">
        <w:rPr>
          <w:sz w:val="20"/>
          <w:szCs w:val="20"/>
        </w:rPr>
        <w:t>.</w:t>
      </w:r>
    </w:p>
    <w:p w14:paraId="2AE84F5F" w14:textId="39DE393D" w:rsidR="00DF5B40" w:rsidRDefault="00A1677B" w:rsidP="00DF5B40">
      <w:pPr>
        <w:pStyle w:val="Prrafodelista"/>
        <w:spacing w:after="0"/>
        <w:ind w:left="360"/>
        <w:rPr>
          <w:sz w:val="20"/>
          <w:szCs w:val="20"/>
        </w:rPr>
      </w:pPr>
      <w:r w:rsidRPr="00A1677B">
        <w:rPr>
          <w:sz w:val="20"/>
          <w:szCs w:val="20"/>
        </w:rPr>
        <w:t>Blanca Rito, Jef</w:t>
      </w:r>
      <w:r w:rsidR="005A7D2D">
        <w:rPr>
          <w:sz w:val="20"/>
          <w:szCs w:val="20"/>
        </w:rPr>
        <w:t>a</w:t>
      </w:r>
      <w:r w:rsidRPr="00A1677B">
        <w:rPr>
          <w:sz w:val="20"/>
          <w:szCs w:val="20"/>
        </w:rPr>
        <w:t xml:space="preserve"> de Departamento de Análisis y Monitoreo de Políticas de Información Gubernamental (DGEGSPJ)</w:t>
      </w:r>
      <w:r w:rsidR="00DF5B40">
        <w:rPr>
          <w:sz w:val="20"/>
          <w:szCs w:val="20"/>
        </w:rPr>
        <w:t>.</w:t>
      </w:r>
    </w:p>
    <w:p w14:paraId="56636ED4" w14:textId="4E1537D5" w:rsidR="00DF5B40" w:rsidRDefault="00A1677B" w:rsidP="00DF5B40">
      <w:pPr>
        <w:pStyle w:val="Prrafodelista"/>
        <w:spacing w:after="0"/>
        <w:ind w:left="360"/>
        <w:rPr>
          <w:sz w:val="20"/>
          <w:szCs w:val="20"/>
        </w:rPr>
      </w:pPr>
      <w:r w:rsidRPr="00A1677B">
        <w:rPr>
          <w:sz w:val="20"/>
          <w:szCs w:val="20"/>
        </w:rPr>
        <w:t>Raquel Terán Ramírez, Directora de Integración de Datos Catastrales y Registrales (DGGMA)</w:t>
      </w:r>
      <w:r w:rsidR="00DF5B40">
        <w:rPr>
          <w:sz w:val="20"/>
          <w:szCs w:val="20"/>
        </w:rPr>
        <w:t>.</w:t>
      </w:r>
    </w:p>
    <w:p w14:paraId="246C0CE4" w14:textId="6EFC5C5C" w:rsidR="00A1677B" w:rsidRPr="00A1677B" w:rsidRDefault="00A1677B" w:rsidP="00DF5B40">
      <w:pPr>
        <w:pStyle w:val="Prrafodelista"/>
        <w:spacing w:after="0"/>
        <w:ind w:left="360"/>
        <w:rPr>
          <w:sz w:val="20"/>
          <w:szCs w:val="20"/>
        </w:rPr>
      </w:pPr>
      <w:r w:rsidRPr="00A1677B">
        <w:rPr>
          <w:sz w:val="20"/>
          <w:szCs w:val="20"/>
        </w:rPr>
        <w:t>Elizabeth Amézquita Muñoz, Subdirectora de Explotación de Registros Administrativos (DGGMA).</w:t>
      </w:r>
    </w:p>
    <w:p w14:paraId="01A15CAC" w14:textId="392BDCC1" w:rsidR="00A1677B" w:rsidRPr="00A1677B" w:rsidRDefault="00A1677B" w:rsidP="00DF5B40">
      <w:pPr>
        <w:pStyle w:val="Prrafodelista"/>
        <w:spacing w:after="0"/>
        <w:ind w:left="360"/>
        <w:rPr>
          <w:sz w:val="20"/>
          <w:szCs w:val="20"/>
        </w:rPr>
      </w:pPr>
      <w:r w:rsidRPr="00A1677B">
        <w:rPr>
          <w:sz w:val="20"/>
          <w:szCs w:val="20"/>
        </w:rPr>
        <w:t>Jorge Martínez Jaramillo, Jef</w:t>
      </w:r>
      <w:r w:rsidR="005A7D2D">
        <w:rPr>
          <w:sz w:val="20"/>
          <w:szCs w:val="20"/>
        </w:rPr>
        <w:t>a</w:t>
      </w:r>
      <w:r w:rsidRPr="00A1677B">
        <w:rPr>
          <w:sz w:val="20"/>
          <w:szCs w:val="20"/>
        </w:rPr>
        <w:t xml:space="preserve"> de Departamento de Atención a Usuarios de Información Geográfica (DGGMA)</w:t>
      </w:r>
    </w:p>
    <w:p w14:paraId="3BF7BCAD" w14:textId="20F01CC1" w:rsidR="00A1677B" w:rsidRPr="00464252" w:rsidRDefault="00A1677B" w:rsidP="00DF5B40">
      <w:pPr>
        <w:pStyle w:val="Prrafodelista"/>
        <w:spacing w:after="0"/>
        <w:ind w:left="360"/>
        <w:rPr>
          <w:sz w:val="20"/>
          <w:szCs w:val="20"/>
        </w:rPr>
      </w:pPr>
      <w:r w:rsidRPr="00A1677B">
        <w:rPr>
          <w:sz w:val="20"/>
          <w:szCs w:val="20"/>
        </w:rPr>
        <w:t>Araceli Casimiro Allende, Jef</w:t>
      </w:r>
      <w:r w:rsidR="00E272C2">
        <w:rPr>
          <w:sz w:val="20"/>
          <w:szCs w:val="20"/>
        </w:rPr>
        <w:t>a</w:t>
      </w:r>
      <w:r w:rsidRPr="00A1677B">
        <w:rPr>
          <w:sz w:val="20"/>
          <w:szCs w:val="20"/>
        </w:rPr>
        <w:t xml:space="preserve"> de Departamento de Diseño Conceptual de Procesos Catastrales y Registrales (DGGMA)</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1675067E" w:rsidR="00100E12" w:rsidRDefault="00A1677B" w:rsidP="00100E12">
      <w:pPr>
        <w:pStyle w:val="Prrafodelista"/>
        <w:spacing w:after="0"/>
        <w:ind w:left="360"/>
        <w:rPr>
          <w:sz w:val="20"/>
          <w:szCs w:val="20"/>
        </w:rPr>
      </w:pPr>
      <w:r w:rsidRPr="00A1677B">
        <w:rPr>
          <w:sz w:val="20"/>
          <w:szCs w:val="20"/>
        </w:rPr>
        <w:t>Apartado de indicadores de calidad de la ficha de metadatos</w:t>
      </w:r>
      <w:r w:rsidR="00DF5B40">
        <w:rPr>
          <w:sz w:val="20"/>
          <w:szCs w:val="20"/>
        </w:rPr>
        <w:t>.</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E56893">
      <w:pPr>
        <w:pStyle w:val="Prrafodelista"/>
        <w:numPr>
          <w:ilvl w:val="1"/>
          <w:numId w:val="2"/>
        </w:numPr>
        <w:spacing w:after="0"/>
        <w:ind w:left="426" w:hanging="426"/>
        <w:rPr>
          <w:b/>
          <w:bCs/>
          <w:sz w:val="20"/>
          <w:szCs w:val="20"/>
        </w:rPr>
      </w:pPr>
      <w:r>
        <w:rPr>
          <w:b/>
          <w:bCs/>
          <w:sz w:val="20"/>
          <w:szCs w:val="20"/>
        </w:rPr>
        <w:t>Fecha de integración de la ficha:</w:t>
      </w:r>
    </w:p>
    <w:p w14:paraId="4E72E405" w14:textId="227D1603" w:rsidR="00100E12" w:rsidRDefault="00E56893" w:rsidP="00E56893">
      <w:pPr>
        <w:pStyle w:val="Prrafodelista"/>
        <w:spacing w:after="0"/>
        <w:ind w:left="426" w:hanging="426"/>
        <w:rPr>
          <w:sz w:val="20"/>
          <w:szCs w:val="20"/>
        </w:rPr>
      </w:pPr>
      <w:r>
        <w:rPr>
          <w:sz w:val="20"/>
          <w:szCs w:val="20"/>
        </w:rPr>
        <w:t xml:space="preserve">         </w:t>
      </w:r>
      <w:r w:rsidR="00A1677B">
        <w:rPr>
          <w:sz w:val="20"/>
          <w:szCs w:val="20"/>
        </w:rPr>
        <w:t>08</w:t>
      </w:r>
      <w:r w:rsidR="00100E12" w:rsidRPr="00100E12">
        <w:rPr>
          <w:sz w:val="20"/>
          <w:szCs w:val="20"/>
        </w:rPr>
        <w:t>/</w:t>
      </w:r>
      <w:r w:rsidR="00A1677B">
        <w:rPr>
          <w:sz w:val="20"/>
          <w:szCs w:val="20"/>
        </w:rPr>
        <w:t>03</w:t>
      </w:r>
      <w:r w:rsidR="00100E12" w:rsidRPr="00100E12">
        <w:rPr>
          <w:sz w:val="20"/>
          <w:szCs w:val="20"/>
        </w:rPr>
        <w:t>/201</w:t>
      </w:r>
      <w:r w:rsidR="00A1677B">
        <w:rPr>
          <w:sz w:val="20"/>
          <w:szCs w:val="20"/>
        </w:rPr>
        <w:t>9</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57A6BFF" w14:textId="77777777" w:rsidR="00D42E7D" w:rsidRDefault="00D42E7D"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2CB4115A" w:rsidR="0097395E" w:rsidRPr="00464252" w:rsidRDefault="002B2675"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Procesos </w:t>
      </w:r>
      <w:r w:rsidR="00E21470">
        <w:rPr>
          <w:rFonts w:ascii="Calibri" w:eastAsia="Times New Roman" w:hAnsi="Calibri" w:cs="Calibri"/>
          <w:color w:val="000000"/>
          <w:kern w:val="0"/>
          <w:sz w:val="20"/>
          <w:szCs w:val="20"/>
          <w:lang w:eastAsia="es-MX"/>
          <w14:ligatures w14:val="none"/>
        </w:rPr>
        <w:t>de producción</w:t>
      </w:r>
      <w:r w:rsidRPr="002B2675">
        <w:rPr>
          <w:rFonts w:ascii="Calibri" w:eastAsia="Times New Roman" w:hAnsi="Calibri" w:cs="Calibri"/>
          <w:color w:val="000000"/>
          <w:kern w:val="0"/>
          <w:sz w:val="20"/>
          <w:szCs w:val="20"/>
          <w:lang w:eastAsia="es-MX"/>
          <w14:ligatures w14:val="none"/>
        </w:rPr>
        <w:t xml:space="preserve"> que integran y/o aprovechan fuentes administrativas</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4CC1B1F1" w14:textId="48D3AE58" w:rsidR="002B2675" w:rsidRPr="002B2675" w:rsidRDefault="002B2675" w:rsidP="002B2675">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Los problemas de cobertura en los </w:t>
      </w:r>
      <w:r w:rsidR="00E21470">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cesos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B2675">
        <w:rPr>
          <w:rFonts w:ascii="Calibri" w:eastAsia="Times New Roman" w:hAnsi="Calibri" w:cs="Calibri"/>
          <w:color w:val="000000"/>
          <w:kern w:val="0"/>
          <w:sz w:val="20"/>
          <w:szCs w:val="20"/>
          <w:lang w:eastAsia="es-MX"/>
          <w14:ligatures w14:val="none"/>
        </w:rPr>
        <w:t xml:space="preserve"> cuyos insumos sólo son registros administrativos están relacionados con la diferencia entre la población objetivo y la población a la cual se puede acceder a través de los registros administrativos. En general, se tienen dos tipos de problemas de cobertura, la sobrecobertura y la subcobertura. La sobrecobertura se observa cuando en los registros administrativos se encuentra población que no pertenece a la población objetivo incluyendo los casos duplicados, de manera que la tasa de sobrecobertura a nivel unidad permite cuantificar la sobrecobertura.</w:t>
      </w:r>
    </w:p>
    <w:p w14:paraId="3DD44DFB" w14:textId="77777777" w:rsidR="002B2675" w:rsidRPr="002B2675" w:rsidRDefault="002B2675" w:rsidP="002B2675">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165B552E" w14:textId="213AFD3D" w:rsidR="0097395E" w:rsidRPr="0097395E" w:rsidRDefault="002B2675" w:rsidP="002B2675">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Nota: </w:t>
      </w:r>
      <w:r>
        <w:rPr>
          <w:rFonts w:ascii="Calibri" w:eastAsia="Times New Roman" w:hAnsi="Calibri" w:cs="Calibri"/>
          <w:color w:val="000000"/>
          <w:kern w:val="0"/>
          <w:sz w:val="20"/>
          <w:szCs w:val="20"/>
          <w:lang w:eastAsia="es-MX"/>
          <w14:ligatures w14:val="none"/>
        </w:rPr>
        <w:t>L</w:t>
      </w:r>
      <w:r w:rsidRPr="002B2675">
        <w:rPr>
          <w:rFonts w:ascii="Calibri" w:eastAsia="Times New Roman" w:hAnsi="Calibri" w:cs="Calibri"/>
          <w:color w:val="000000"/>
          <w:kern w:val="0"/>
          <w:sz w:val="20"/>
          <w:szCs w:val="20"/>
          <w:lang w:eastAsia="es-MX"/>
          <w14:ligatures w14:val="none"/>
        </w:rPr>
        <w:t xml:space="preserve">a población objetivo se define para cada </w:t>
      </w:r>
      <w:r w:rsidR="00E21470">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B2675">
        <w:rPr>
          <w:rFonts w:ascii="Calibri" w:eastAsia="Times New Roman" w:hAnsi="Calibri" w:cs="Calibri"/>
          <w:color w:val="000000"/>
          <w:kern w:val="0"/>
          <w:sz w:val="20"/>
          <w:szCs w:val="20"/>
          <w:lang w:eastAsia="es-MX"/>
          <w14:ligatures w14:val="none"/>
        </w:rPr>
        <w:t>.</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3397ABB0" w:rsidR="0097395E" w:rsidRPr="0097395E"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Se calculará según la periodicidad con la que se llevan a cabo ciclos del </w:t>
      </w:r>
      <w:r w:rsidR="00E21470">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43DA511" w:rsidR="0097395E" w:rsidRPr="0097395E"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Esta tasa se resguardará en el sistema de metadatos de los </w:t>
      </w:r>
      <w:r w:rsidR="00E21470">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cesos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B2675">
        <w:rPr>
          <w:rFonts w:ascii="Calibri" w:eastAsia="Times New Roman" w:hAnsi="Calibri" w:cs="Calibri"/>
          <w:color w:val="000000"/>
          <w:kern w:val="0"/>
          <w:sz w:val="20"/>
          <w:szCs w:val="20"/>
          <w:lang w:eastAsia="es-MX"/>
          <w14:ligatures w14:val="none"/>
        </w:rPr>
        <w:t xml:space="preserve"> a más tardar 30 días naturales después de la fecha de publicación de resultados</w:t>
      </w:r>
      <w:r w:rsidR="00D42E7D" w:rsidRPr="00D42E7D">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9A304DF" w14:textId="77777777" w:rsidR="002B2675"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El periodo de referencia del indicador corresponde a aquel definido en la población objetivo del </w:t>
      </w:r>
    </w:p>
    <w:p w14:paraId="2DB380E2" w14:textId="051E2AFB" w:rsidR="0097395E" w:rsidRPr="0097395E" w:rsidRDefault="00E21470"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w:t>
      </w:r>
      <w:r w:rsidR="002B2675" w:rsidRPr="002B2675">
        <w:rPr>
          <w:rFonts w:ascii="Calibri" w:eastAsia="Times New Roman" w:hAnsi="Calibri" w:cs="Calibri"/>
          <w:color w:val="000000"/>
          <w:kern w:val="0"/>
          <w:sz w:val="20"/>
          <w:szCs w:val="20"/>
          <w:lang w:eastAsia="es-MX"/>
          <w14:ligatures w14:val="none"/>
        </w:rPr>
        <w:t>ro</w:t>
      </w:r>
      <w:r w:rsidR="002B2675">
        <w:rPr>
          <w:rFonts w:ascii="Calibri" w:eastAsia="Times New Roman" w:hAnsi="Calibri" w:cs="Calibri"/>
          <w:color w:val="000000"/>
          <w:kern w:val="0"/>
          <w:sz w:val="20"/>
          <w:szCs w:val="20"/>
          <w:lang w:eastAsia="es-MX"/>
          <w14:ligatures w14:val="none"/>
        </w:rPr>
        <w:t xml:space="preserve">ceso de </w:t>
      </w:r>
      <w:r>
        <w:rPr>
          <w:rFonts w:ascii="Calibri" w:eastAsia="Times New Roman" w:hAnsi="Calibri" w:cs="Calibri"/>
          <w:color w:val="000000"/>
          <w:kern w:val="0"/>
          <w:sz w:val="20"/>
          <w:szCs w:val="20"/>
          <w:lang w:eastAsia="es-MX"/>
          <w14:ligatures w14:val="none"/>
        </w:rPr>
        <w:t>p</w:t>
      </w:r>
      <w:r w:rsidR="002B2675">
        <w:rPr>
          <w:rFonts w:ascii="Calibri" w:eastAsia="Times New Roman" w:hAnsi="Calibri" w:cs="Calibri"/>
          <w:color w:val="000000"/>
          <w:kern w:val="0"/>
          <w:sz w:val="20"/>
          <w:szCs w:val="20"/>
          <w:lang w:eastAsia="es-MX"/>
          <w14:ligatures w14:val="none"/>
        </w:rPr>
        <w:t>roducción</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00947FC1" w14:textId="27AA3933" w:rsid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I. Los responsables de cada </w:t>
      </w:r>
      <w:r w:rsidR="00E21470">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B2675">
        <w:rPr>
          <w:rFonts w:ascii="Calibri" w:eastAsia="Times New Roman" w:hAnsi="Calibri" w:cs="Calibri"/>
          <w:color w:val="000000"/>
          <w:kern w:val="0"/>
          <w:sz w:val="20"/>
          <w:szCs w:val="20"/>
          <w:lang w:eastAsia="es-MX"/>
          <w14:ligatures w14:val="none"/>
        </w:rPr>
        <w:t xml:space="preserve"> deberán especificar los aspectos siguientes:</w:t>
      </w:r>
    </w:p>
    <w:p w14:paraId="5BF5ADAF"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i) Los dominios de estudio para los que se calculará este indicador.</w:t>
      </w:r>
    </w:p>
    <w:p w14:paraId="7B14F09B"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ii) Población objetivo.</w:t>
      </w:r>
    </w:p>
    <w:p w14:paraId="6D5F7466"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2016445" w14:textId="49EA4B88" w:rsid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II. Se deben considerar las definiciones siguientes</w:t>
      </w:r>
      <w:r>
        <w:rPr>
          <w:rFonts w:ascii="Calibri" w:eastAsia="Times New Roman" w:hAnsi="Calibri" w:cs="Calibri"/>
          <w:color w:val="000000"/>
          <w:kern w:val="0"/>
          <w:sz w:val="20"/>
          <w:szCs w:val="20"/>
          <w:lang w:eastAsia="es-MX"/>
          <w14:ligatures w14:val="none"/>
        </w:rPr>
        <w:t>:</w:t>
      </w:r>
    </w:p>
    <w:p w14:paraId="0A705E3F"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Dominio de Estudio: Subconjunto de la población para el cual se requiere realizar mediciones o representaciones de los conceptos de forma separada.</w:t>
      </w:r>
    </w:p>
    <w:p w14:paraId="13DC4CB1"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Población: El conjunto de unidades pertenecientes a un grupo de personas, empresas, establecimientos, viviendas, o cualquier otro tipo de objetos, acciones o eventos, con base en ciertas características bien definidas, incluyendo límites sobre tiempo y espacio.</w:t>
      </w:r>
    </w:p>
    <w:p w14:paraId="0576D672"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B0D87D4"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III. Cuando la población objetivo coincida con aquella definida a partir de los registros administrativos, la tasa de sobrecobertura puede ser cero, por ejemplo, cuando no hay duplicados.</w:t>
      </w:r>
    </w:p>
    <w:p w14:paraId="112098E3" w14:textId="77777777" w:rsidR="002B2675" w:rsidRPr="002B2675"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8B9BD8C" w14:textId="55FA5886" w:rsidR="0097395E" w:rsidRPr="00DE2869" w:rsidRDefault="002B2675" w:rsidP="002B267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IV. Para el cálculo de este porcentaje se asume que en los registros administrativos se puede distinguir cuando hay población en estos que no pertenece a la población objetivo, por ejemplo, después de las fases de captación y procesamiento se puede definir este aspecto sobre las unidades, algunas de las cuales no serán parte de la población objetivo al ser unidades duplicadas o por cuestiones de clasificación.</w:t>
      </w:r>
    </w:p>
    <w:p w14:paraId="661398A3" w14:textId="77777777" w:rsidR="00F37A79" w:rsidRDefault="00F37A7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596544C" w14:textId="77777777" w:rsidR="00A779BC" w:rsidRPr="008C470B" w:rsidRDefault="00A779BC"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064B2EA0" w14:textId="77777777" w:rsidR="00A779BC" w:rsidRDefault="00A779BC" w:rsidP="00A779BC">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r w:rsidRPr="00E82B5F">
        <w:rPr>
          <w:rFonts w:ascii="Calibri" w:eastAsia="Times New Roman" w:hAnsi="Calibri" w:cs="Calibri"/>
          <w:color w:val="000000"/>
          <w:kern w:val="0"/>
          <w:sz w:val="20"/>
          <w:szCs w:val="20"/>
          <w:lang w:eastAsia="es-MX"/>
          <w14:ligatures w14:val="none"/>
        </w:rPr>
        <w:t>Sea</w:t>
      </w:r>
      <w:r w:rsidRPr="00A779BC">
        <w:rPr>
          <w:rFonts w:ascii="Calibri" w:eastAsia="Times New Roman" w:hAnsi="Calibri" w:cs="Calibri"/>
          <w:i/>
          <w:iCs/>
          <w:color w:val="000000"/>
          <w:kern w:val="0"/>
          <w:sz w:val="20"/>
          <w:szCs w:val="20"/>
          <w:lang w:eastAsia="es-MX"/>
          <w14:ligatures w14:val="none"/>
        </w:rPr>
        <w:t xml:space="preserve"> </w:t>
      </w:r>
      <w:r w:rsidRPr="00A779BC">
        <w:rPr>
          <w:rFonts w:ascii="Cambria Math" w:eastAsia="Times New Roman" w:hAnsi="Cambria Math" w:cs="Cambria Math"/>
          <w:i/>
          <w:iCs/>
          <w:color w:val="000000"/>
          <w:kern w:val="0"/>
          <w:sz w:val="20"/>
          <w:szCs w:val="20"/>
          <w:lang w:eastAsia="es-MX"/>
          <w14:ligatures w14:val="none"/>
        </w:rPr>
        <w:t>𝑈</w:t>
      </w:r>
      <w:r w:rsidRPr="00A779BC">
        <w:rPr>
          <w:rFonts w:ascii="Calibri" w:eastAsia="Times New Roman" w:hAnsi="Calibri" w:cs="Calibri"/>
          <w:i/>
          <w:iCs/>
          <w:color w:val="000000"/>
          <w:kern w:val="0"/>
          <w:sz w:val="20"/>
          <w:szCs w:val="20"/>
          <w:lang w:eastAsia="es-MX"/>
          <w14:ligatures w14:val="none"/>
        </w:rPr>
        <w:t xml:space="preserve"> </w:t>
      </w:r>
      <w:r w:rsidRPr="00E82B5F">
        <w:rPr>
          <w:rFonts w:ascii="Calibri" w:eastAsia="Times New Roman" w:hAnsi="Calibri" w:cs="Calibri"/>
          <w:color w:val="000000"/>
          <w:kern w:val="0"/>
          <w:sz w:val="20"/>
          <w:szCs w:val="20"/>
          <w:lang w:eastAsia="es-MX"/>
          <w14:ligatures w14:val="none"/>
        </w:rPr>
        <w:t>el conjunto de todas las unidades ‐incluyendo duplicados‐ en los registros administrativos y sea</w:t>
      </w:r>
    </w:p>
    <w:p w14:paraId="275E45D1" w14:textId="0D486A7F" w:rsidR="00A779BC" w:rsidRPr="00E82B5F"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r w:rsidRPr="00A779BC">
        <w:rPr>
          <w:rFonts w:ascii="Cambria Math" w:eastAsia="Times New Roman" w:hAnsi="Cambria Math" w:cs="Cambria Math"/>
          <w:i/>
          <w:iCs/>
          <w:color w:val="000000"/>
          <w:kern w:val="0"/>
          <w:sz w:val="20"/>
          <w:szCs w:val="20"/>
          <w:lang w:eastAsia="es-MX"/>
          <w14:ligatures w14:val="none"/>
        </w:rPr>
        <w:t>𝑈</w:t>
      </w:r>
      <w:r w:rsidRPr="00A779BC">
        <w:rPr>
          <w:rFonts w:ascii="Calibri" w:eastAsia="Times New Roman" w:hAnsi="Calibri" w:cs="Calibri"/>
          <w:i/>
          <w:iCs/>
          <w:color w:val="000000"/>
          <w:kern w:val="0"/>
          <w:sz w:val="20"/>
          <w:szCs w:val="20"/>
          <w:vertAlign w:val="subscript"/>
          <w:lang w:eastAsia="es-MX"/>
          <w14:ligatures w14:val="none"/>
        </w:rPr>
        <w:t>1</w:t>
      </w:r>
      <w:r w:rsidRPr="00A779BC">
        <w:rPr>
          <w:rFonts w:ascii="Calibri" w:eastAsia="Times New Roman" w:hAnsi="Calibri" w:cs="Calibri"/>
          <w:i/>
          <w:iCs/>
          <w:color w:val="000000"/>
          <w:kern w:val="0"/>
          <w:sz w:val="20"/>
          <w:szCs w:val="20"/>
          <w:lang w:eastAsia="es-MX"/>
          <w14:ligatures w14:val="none"/>
        </w:rPr>
        <w:t xml:space="preserve"> </w:t>
      </w:r>
      <w:r w:rsidRPr="00A779BC">
        <w:rPr>
          <w:rFonts w:ascii="Cambria Math" w:eastAsia="Times New Roman" w:hAnsi="Cambria Math" w:cs="Cambria Math"/>
          <w:i/>
          <w:iCs/>
          <w:color w:val="000000"/>
          <w:kern w:val="0"/>
          <w:sz w:val="20"/>
          <w:szCs w:val="20"/>
          <w:lang w:eastAsia="es-MX"/>
          <w14:ligatures w14:val="none"/>
        </w:rPr>
        <w:t>⊆</w:t>
      </w:r>
      <w:r w:rsidRPr="00A779BC">
        <w:rPr>
          <w:rFonts w:ascii="Calibri" w:eastAsia="Times New Roman" w:hAnsi="Calibri" w:cs="Calibri"/>
          <w:i/>
          <w:iCs/>
          <w:color w:val="000000"/>
          <w:kern w:val="0"/>
          <w:sz w:val="20"/>
          <w:szCs w:val="20"/>
          <w:lang w:eastAsia="es-MX"/>
          <w14:ligatures w14:val="none"/>
        </w:rPr>
        <w:t xml:space="preserve"> </w:t>
      </w:r>
      <w:r w:rsidRPr="00A779BC">
        <w:rPr>
          <w:rFonts w:ascii="Cambria Math" w:eastAsia="Times New Roman" w:hAnsi="Cambria Math" w:cs="Cambria Math"/>
          <w:i/>
          <w:iCs/>
          <w:color w:val="000000"/>
          <w:kern w:val="0"/>
          <w:sz w:val="20"/>
          <w:szCs w:val="20"/>
          <w:lang w:eastAsia="es-MX"/>
          <w14:ligatures w14:val="none"/>
        </w:rPr>
        <w:t>𝑈</w:t>
      </w:r>
      <w:r w:rsidRPr="00A779BC">
        <w:rPr>
          <w:rFonts w:ascii="Calibri" w:eastAsia="Times New Roman" w:hAnsi="Calibri" w:cs="Calibri"/>
          <w:i/>
          <w:iCs/>
          <w:color w:val="000000"/>
          <w:kern w:val="0"/>
          <w:sz w:val="20"/>
          <w:szCs w:val="20"/>
          <w:lang w:eastAsia="es-MX"/>
          <w14:ligatures w14:val="none"/>
        </w:rPr>
        <w:t xml:space="preserve"> </w:t>
      </w:r>
      <w:r w:rsidRPr="00E82B5F">
        <w:rPr>
          <w:rFonts w:ascii="Calibri" w:eastAsia="Times New Roman" w:hAnsi="Calibri" w:cs="Calibri"/>
          <w:color w:val="000000"/>
          <w:kern w:val="0"/>
          <w:sz w:val="20"/>
          <w:szCs w:val="20"/>
          <w:lang w:eastAsia="es-MX"/>
          <w14:ligatures w14:val="none"/>
        </w:rPr>
        <w:t>el conjunto compuesto por aquellas unidades que se definen fuera de la población objetivo.</w:t>
      </w:r>
    </w:p>
    <w:p w14:paraId="286780BB" w14:textId="77777777" w:rsidR="00A779BC" w:rsidRPr="00A779BC"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66A928AF" w14:textId="77777777" w:rsidR="00A779BC" w:rsidRDefault="00A779BC" w:rsidP="00A779BC">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r w:rsidRPr="00E82B5F">
        <w:rPr>
          <w:rFonts w:ascii="Calibri" w:eastAsia="Times New Roman" w:hAnsi="Calibri" w:cs="Calibri"/>
          <w:color w:val="000000"/>
          <w:kern w:val="0"/>
          <w:sz w:val="20"/>
          <w:szCs w:val="20"/>
          <w:lang w:eastAsia="es-MX"/>
          <w14:ligatures w14:val="none"/>
        </w:rPr>
        <w:t xml:space="preserve">La tasa de sobrecobertura a nivel unidad para cada dominio de estudio </w:t>
      </w:r>
      <w:r w:rsidRPr="00A779BC">
        <w:rPr>
          <w:rFonts w:ascii="Cambria Math" w:eastAsia="Times New Roman" w:hAnsi="Cambria Math" w:cs="Cambria Math"/>
          <w:i/>
          <w:iCs/>
          <w:color w:val="000000"/>
          <w:kern w:val="0"/>
          <w:sz w:val="20"/>
          <w:szCs w:val="20"/>
          <w:lang w:eastAsia="es-MX"/>
          <w14:ligatures w14:val="none"/>
        </w:rPr>
        <w:t>𝑔</w:t>
      </w:r>
      <w:r w:rsidRPr="00A779BC">
        <w:rPr>
          <w:rFonts w:ascii="Calibri" w:eastAsia="Times New Roman" w:hAnsi="Calibri" w:cs="Calibri"/>
          <w:i/>
          <w:iCs/>
          <w:color w:val="000000"/>
          <w:kern w:val="0"/>
          <w:sz w:val="20"/>
          <w:szCs w:val="20"/>
          <w:lang w:eastAsia="es-MX"/>
          <w14:ligatures w14:val="none"/>
        </w:rPr>
        <w:t xml:space="preserve">, </w:t>
      </w:r>
      <w:r w:rsidRPr="00A779BC">
        <w:rPr>
          <w:rFonts w:ascii="Cambria Math" w:eastAsia="Times New Roman" w:hAnsi="Cambria Math" w:cs="Cambria Math"/>
          <w:i/>
          <w:iCs/>
          <w:color w:val="000000"/>
          <w:kern w:val="0"/>
          <w:sz w:val="20"/>
          <w:szCs w:val="20"/>
          <w:lang w:eastAsia="es-MX"/>
          <w14:ligatures w14:val="none"/>
        </w:rPr>
        <w:t>𝑇𝑆𝐶</w:t>
      </w:r>
      <w:r w:rsidRPr="00A779BC">
        <w:rPr>
          <w:rFonts w:ascii="Calibri" w:eastAsia="Times New Roman" w:hAnsi="Calibri" w:cs="Calibri"/>
          <w:i/>
          <w:iCs/>
          <w:color w:val="000000"/>
          <w:kern w:val="0"/>
          <w:sz w:val="20"/>
          <w:szCs w:val="20"/>
          <w:vertAlign w:val="subscript"/>
          <w:lang w:eastAsia="es-MX"/>
          <w14:ligatures w14:val="none"/>
        </w:rPr>
        <w:t>g</w:t>
      </w:r>
      <w:r w:rsidRPr="00A779BC">
        <w:rPr>
          <w:rFonts w:ascii="Calibri" w:eastAsia="Times New Roman" w:hAnsi="Calibri" w:cs="Calibri"/>
          <w:i/>
          <w:iCs/>
          <w:color w:val="000000"/>
          <w:kern w:val="0"/>
          <w:sz w:val="20"/>
          <w:szCs w:val="20"/>
          <w:lang w:eastAsia="es-MX"/>
          <w14:ligatures w14:val="none"/>
        </w:rPr>
        <w:t xml:space="preserve">, </w:t>
      </w:r>
      <w:r w:rsidRPr="00E82B5F">
        <w:rPr>
          <w:rFonts w:ascii="Calibri" w:eastAsia="Times New Roman" w:hAnsi="Calibri" w:cs="Calibri"/>
          <w:color w:val="000000"/>
          <w:kern w:val="0"/>
          <w:sz w:val="20"/>
          <w:szCs w:val="20"/>
          <w:lang w:eastAsia="es-MX"/>
          <w14:ligatures w14:val="none"/>
        </w:rPr>
        <w:t>se define como:</w:t>
      </w:r>
    </w:p>
    <w:p w14:paraId="2A8DFB60" w14:textId="77777777" w:rsidR="00A779BC" w:rsidRPr="00A779BC"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028A9F8A" w14:textId="13EAD39A" w:rsidR="00A779BC" w:rsidRPr="00A779BC" w:rsidRDefault="00000000"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m:t>
              </m:r>
              <m:r>
                <w:rPr>
                  <w:rFonts w:ascii="Cambria Math" w:eastAsia="Times New Roman" w:hAnsi="Cambria Math" w:cs="Calibri"/>
                  <w:color w:val="000000"/>
                  <w:kern w:val="0"/>
                  <w:sz w:val="20"/>
                  <w:szCs w:val="20"/>
                  <w:lang w:eastAsia="es-MX"/>
                  <w14:ligatures w14:val="none"/>
                </w:rPr>
                <m:t>SC</m:t>
              </m:r>
            </m:e>
            <m:sub>
              <m:r>
                <w:rPr>
                  <w:rFonts w:ascii="Cambria Math" w:eastAsia="Times New Roman" w:hAnsi="Cambria Math" w:cs="Calibri"/>
                  <w:color w:val="000000"/>
                  <w:kern w:val="0"/>
                  <w:sz w:val="20"/>
                  <w:szCs w:val="20"/>
                  <w:lang w:val="es-419" w:eastAsia="es-MX"/>
                  <w14:ligatures w14:val="none"/>
                </w:rPr>
                <m:t>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sub>
              </m:sSub>
            </m:den>
          </m:f>
          <m:r>
            <w:rPr>
              <w:rFonts w:ascii="Cambria Math" w:eastAsia="Times New Roman" w:hAnsi="Cambria Math" w:cs="Calibri"/>
              <w:color w:val="000000"/>
              <w:kern w:val="0"/>
              <w:sz w:val="20"/>
              <w:szCs w:val="20"/>
              <w:lang w:val="es-419" w:eastAsia="es-MX"/>
              <w14:ligatures w14:val="none"/>
            </w:rPr>
            <m:t> ×</m:t>
          </m:r>
          <m:r>
            <w:rPr>
              <w:rFonts w:ascii="Cambria Math" w:eastAsia="Times New Roman" w:hAnsi="Cambria Math" w:cs="Calibri"/>
              <w:color w:val="000000"/>
              <w:kern w:val="0"/>
              <w:sz w:val="20"/>
              <w:szCs w:val="20"/>
              <w:lang w:eastAsia="es-MX"/>
              <w14:ligatures w14:val="none"/>
            </w:rPr>
            <m:t>100</m:t>
          </m:r>
        </m:oMath>
      </m:oMathPara>
    </w:p>
    <w:p w14:paraId="7B48F07E" w14:textId="77777777" w:rsidR="00A779BC"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1B171C12" w14:textId="23F14DF8" w:rsidR="00A779BC" w:rsidRPr="00A779BC"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r w:rsidRPr="00A779BC">
        <w:rPr>
          <w:rFonts w:ascii="Calibri" w:eastAsia="Times New Roman" w:hAnsi="Calibri" w:cs="Calibri"/>
          <w:color w:val="000000"/>
          <w:kern w:val="0"/>
          <w:sz w:val="20"/>
          <w:szCs w:val="20"/>
          <w:lang w:eastAsia="es-MX"/>
          <w14:ligatures w14:val="none"/>
        </w:rPr>
        <w:t xml:space="preserve">donde </w:t>
      </w:r>
      <w:r w:rsidRPr="00A779BC">
        <w:rPr>
          <w:rFonts w:ascii="Cambria Math" w:eastAsia="Times New Roman" w:hAnsi="Cambria Math" w:cs="Cambria Math"/>
          <w:color w:val="000000"/>
          <w:kern w:val="0"/>
          <w:sz w:val="20"/>
          <w:szCs w:val="20"/>
          <w:lang w:eastAsia="es-MX"/>
          <w14:ligatures w14:val="none"/>
        </w:rPr>
        <w:t>𝑁</w:t>
      </w:r>
      <w:r w:rsidRPr="00A779BC">
        <w:rPr>
          <w:rFonts w:ascii="Calibri" w:eastAsia="Times New Roman" w:hAnsi="Calibri" w:cs="Calibri"/>
          <w:color w:val="000000"/>
          <w:kern w:val="0"/>
          <w:sz w:val="20"/>
          <w:szCs w:val="20"/>
          <w:vertAlign w:val="subscript"/>
          <w:lang w:eastAsia="es-MX"/>
          <w14:ligatures w14:val="none"/>
        </w:rPr>
        <w:t>g</w:t>
      </w:r>
      <w:r w:rsidRPr="00A779BC">
        <w:rPr>
          <w:rFonts w:ascii="Calibri" w:eastAsia="Times New Roman" w:hAnsi="Calibri" w:cs="Calibri"/>
          <w:color w:val="000000"/>
          <w:kern w:val="0"/>
          <w:sz w:val="20"/>
          <w:szCs w:val="20"/>
          <w:lang w:eastAsia="es-MX"/>
          <w14:ligatures w14:val="none"/>
        </w:rPr>
        <w:t xml:space="preserve"> y </w:t>
      </w:r>
      <w:r w:rsidRPr="00A779BC">
        <w:rPr>
          <w:rFonts w:ascii="Cambria Math" w:eastAsia="Times New Roman" w:hAnsi="Cambria Math" w:cs="Cambria Math"/>
          <w:color w:val="000000"/>
          <w:kern w:val="0"/>
          <w:sz w:val="20"/>
          <w:szCs w:val="20"/>
          <w:lang w:eastAsia="es-MX"/>
          <w14:ligatures w14:val="none"/>
        </w:rPr>
        <w:t>𝑁</w:t>
      </w:r>
      <w:r w:rsidRPr="00A779BC">
        <w:rPr>
          <w:rFonts w:ascii="Calibri" w:eastAsia="Times New Roman" w:hAnsi="Calibri" w:cs="Calibri"/>
          <w:color w:val="000000"/>
          <w:kern w:val="0"/>
          <w:sz w:val="20"/>
          <w:szCs w:val="20"/>
          <w:vertAlign w:val="subscript"/>
          <w:lang w:eastAsia="es-MX"/>
          <w14:ligatures w14:val="none"/>
        </w:rPr>
        <w:t>g1</w:t>
      </w:r>
      <w:r w:rsidRPr="00A779BC">
        <w:rPr>
          <w:rFonts w:ascii="Calibri" w:eastAsia="Times New Roman" w:hAnsi="Calibri" w:cs="Calibri"/>
          <w:color w:val="000000"/>
          <w:kern w:val="0"/>
          <w:sz w:val="20"/>
          <w:szCs w:val="20"/>
          <w:lang w:eastAsia="es-MX"/>
          <w14:ligatures w14:val="none"/>
        </w:rPr>
        <w:t xml:space="preserve"> son el número de unidades en el conjunto </w:t>
      </w:r>
      <w:r w:rsidRPr="00A779BC">
        <w:rPr>
          <w:rFonts w:ascii="Cambria Math" w:eastAsia="Times New Roman" w:hAnsi="Cambria Math" w:cs="Cambria Math"/>
          <w:color w:val="000000"/>
          <w:kern w:val="0"/>
          <w:sz w:val="20"/>
          <w:szCs w:val="20"/>
          <w:lang w:eastAsia="es-MX"/>
          <w14:ligatures w14:val="none"/>
        </w:rPr>
        <w:t>𝑈</w:t>
      </w:r>
      <w:r w:rsidRPr="00A779BC">
        <w:rPr>
          <w:rFonts w:ascii="Calibri" w:eastAsia="Times New Roman" w:hAnsi="Calibri" w:cs="Calibri"/>
          <w:color w:val="000000"/>
          <w:kern w:val="0"/>
          <w:sz w:val="20"/>
          <w:szCs w:val="20"/>
          <w:lang w:eastAsia="es-MX"/>
          <w14:ligatures w14:val="none"/>
        </w:rPr>
        <w:t xml:space="preserve"> y </w:t>
      </w:r>
      <w:r w:rsidRPr="00A779BC">
        <w:rPr>
          <w:rFonts w:ascii="Cambria Math" w:eastAsia="Times New Roman" w:hAnsi="Cambria Math" w:cs="Cambria Math"/>
          <w:color w:val="000000"/>
          <w:kern w:val="0"/>
          <w:sz w:val="20"/>
          <w:szCs w:val="20"/>
          <w:lang w:eastAsia="es-MX"/>
          <w14:ligatures w14:val="none"/>
        </w:rPr>
        <w:t>𝑈</w:t>
      </w:r>
      <w:r w:rsidRPr="00A779BC">
        <w:rPr>
          <w:rFonts w:ascii="Calibri" w:eastAsia="Times New Roman" w:hAnsi="Calibri" w:cs="Calibri"/>
          <w:color w:val="000000"/>
          <w:kern w:val="0"/>
          <w:sz w:val="20"/>
          <w:szCs w:val="20"/>
          <w:vertAlign w:val="subscript"/>
          <w:lang w:eastAsia="es-MX"/>
          <w14:ligatures w14:val="none"/>
        </w:rPr>
        <w:t>1</w:t>
      </w:r>
      <w:r w:rsidRPr="00A779BC">
        <w:rPr>
          <w:rFonts w:ascii="Calibri" w:eastAsia="Times New Roman" w:hAnsi="Calibri" w:cs="Calibri"/>
          <w:color w:val="000000"/>
          <w:kern w:val="0"/>
          <w:sz w:val="20"/>
          <w:szCs w:val="20"/>
          <w:lang w:eastAsia="es-MX"/>
          <w14:ligatures w14:val="none"/>
        </w:rPr>
        <w:t xml:space="preserve">, respectivamente, que pertenecen al dominio de estudio </w:t>
      </w:r>
      <w:r w:rsidRPr="00A779BC">
        <w:rPr>
          <w:rFonts w:ascii="Cambria Math" w:eastAsia="Times New Roman" w:hAnsi="Cambria Math" w:cs="Cambria Math"/>
          <w:color w:val="000000"/>
          <w:kern w:val="0"/>
          <w:sz w:val="20"/>
          <w:szCs w:val="20"/>
          <w:lang w:eastAsia="es-MX"/>
          <w14:ligatures w14:val="none"/>
        </w:rPr>
        <w:t>𝑔</w:t>
      </w:r>
      <w:r w:rsidRPr="00A779BC">
        <w:rPr>
          <w:rFonts w:ascii="Calibri" w:eastAsia="Times New Roman" w:hAnsi="Calibri" w:cs="Calibri"/>
          <w:color w:val="000000"/>
          <w:kern w:val="0"/>
          <w:sz w:val="20"/>
          <w:szCs w:val="20"/>
          <w:lang w:eastAsia="es-MX"/>
          <w14:ligatures w14:val="none"/>
        </w:rPr>
        <w:t>.</w:t>
      </w: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02D1AA" w14:textId="77777777" w:rsidR="000D7CCD" w:rsidRDefault="000D7CCD"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E8BF355" w14:textId="2289B131" w:rsidR="00DE2869" w:rsidRDefault="00A779BC" w:rsidP="00A779BC">
      <w:pPr>
        <w:ind w:left="426"/>
        <w:rPr>
          <w:rFonts w:ascii="Calibri" w:eastAsia="Times New Roman" w:hAnsi="Calibri" w:cs="Calibri"/>
          <w:kern w:val="0"/>
          <w:sz w:val="20"/>
          <w:szCs w:val="20"/>
          <w:lang w:eastAsia="es-MX"/>
          <w14:ligatures w14:val="none"/>
        </w:rPr>
      </w:pPr>
      <w:r w:rsidRPr="00A779BC">
        <w:rPr>
          <w:rFonts w:ascii="Calibri" w:eastAsia="Times New Roman" w:hAnsi="Calibri" w:cs="Calibri"/>
          <w:sz w:val="20"/>
          <w:szCs w:val="20"/>
        </w:rPr>
        <w:t xml:space="preserve">Todos los datos se obtienen de las especificaciones del </w:t>
      </w:r>
      <w:r w:rsidR="00E21470">
        <w:rPr>
          <w:rFonts w:ascii="Calibri" w:eastAsia="Times New Roman" w:hAnsi="Calibri" w:cs="Calibri"/>
          <w:sz w:val="20"/>
          <w:szCs w:val="20"/>
        </w:rPr>
        <w:t>p</w:t>
      </w:r>
      <w:r w:rsidRPr="00A779BC">
        <w:rPr>
          <w:rFonts w:ascii="Calibri" w:eastAsia="Times New Roman" w:hAnsi="Calibri" w:cs="Calibri"/>
          <w:sz w:val="20"/>
          <w:szCs w:val="20"/>
        </w:rPr>
        <w:t>ro</w:t>
      </w:r>
      <w:r>
        <w:rPr>
          <w:rFonts w:ascii="Calibri" w:eastAsia="Times New Roman" w:hAnsi="Calibri" w:cs="Calibri"/>
          <w:sz w:val="20"/>
          <w:szCs w:val="20"/>
        </w:rPr>
        <w:t xml:space="preserve">ceso de </w:t>
      </w:r>
      <w:r w:rsidR="00E21470">
        <w:rPr>
          <w:rFonts w:ascii="Calibri" w:eastAsia="Times New Roman" w:hAnsi="Calibri" w:cs="Calibri"/>
          <w:sz w:val="20"/>
          <w:szCs w:val="20"/>
        </w:rPr>
        <w:t>p</w:t>
      </w:r>
      <w:r>
        <w:rPr>
          <w:rFonts w:ascii="Calibri" w:eastAsia="Times New Roman" w:hAnsi="Calibri" w:cs="Calibri"/>
          <w:sz w:val="20"/>
          <w:szCs w:val="20"/>
        </w:rPr>
        <w:t>roducción</w:t>
      </w:r>
      <w:r w:rsidRPr="00A779BC">
        <w:rPr>
          <w:rFonts w:ascii="Calibri" w:eastAsia="Times New Roman" w:hAnsi="Calibri" w:cs="Calibri"/>
          <w:sz w:val="20"/>
          <w:szCs w:val="20"/>
        </w:rPr>
        <w:t xml:space="preserve"> y de los registros administrativos que son los insumos de éste.</w:t>
      </w:r>
    </w:p>
    <w:p w14:paraId="194F7B42" w14:textId="77777777" w:rsidR="00705EC1" w:rsidRPr="00DE2869" w:rsidRDefault="00705EC1" w:rsidP="00DE2869">
      <w:pPr>
        <w:spacing w:after="0" w:line="240" w:lineRule="auto"/>
        <w:ind w:left="426"/>
        <w:rPr>
          <w:rFonts w:ascii="Calibri" w:eastAsia="Times New Roman" w:hAnsi="Calibri" w:cs="Calibri"/>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14356EB9" w:rsidR="00294AE7" w:rsidRDefault="00A779BC"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779BC">
        <w:rPr>
          <w:rFonts w:ascii="Calibri" w:eastAsia="Times New Roman" w:hAnsi="Calibri" w:cs="Calibri"/>
          <w:color w:val="000000"/>
          <w:kern w:val="0"/>
          <w:sz w:val="20"/>
          <w:szCs w:val="20"/>
          <w:lang w:eastAsia="es-MX"/>
          <w14:ligatures w14:val="none"/>
        </w:rPr>
        <w:t>Los dominios de estudio que defina el responsable del </w:t>
      </w:r>
      <w:r w:rsidR="00E21470">
        <w:rPr>
          <w:rFonts w:ascii="Calibri" w:eastAsia="Times New Roman" w:hAnsi="Calibri" w:cs="Calibri"/>
          <w:color w:val="000000"/>
          <w:kern w:val="0"/>
          <w:sz w:val="20"/>
          <w:szCs w:val="20"/>
          <w:lang w:eastAsia="es-MX"/>
          <w14:ligatures w14:val="none"/>
        </w:rPr>
        <w:t>p</w:t>
      </w:r>
      <w:r w:rsidRPr="00A779BC">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DE2869" w:rsidRPr="00DE2869">
        <w:rPr>
          <w:rFonts w:ascii="Calibri" w:eastAsia="Times New Roman" w:hAnsi="Calibri" w:cs="Calibri"/>
          <w:color w:val="000000"/>
          <w:kern w:val="0"/>
          <w:sz w:val="20"/>
          <w:szCs w:val="20"/>
          <w:lang w:eastAsia="es-MX"/>
          <w14:ligatures w14:val="none"/>
        </w:rPr>
        <w:t>.</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16BA4E78" w14:textId="77777777" w:rsidR="00A779BC" w:rsidRPr="00E82B5F" w:rsidRDefault="00A779BC" w:rsidP="00A779BC">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82B5F">
        <w:rPr>
          <w:rFonts w:ascii="Calibri" w:eastAsia="Times New Roman" w:hAnsi="Calibri" w:cs="Calibri"/>
          <w:color w:val="000000"/>
          <w:kern w:val="0"/>
          <w:sz w:val="20"/>
          <w:szCs w:val="20"/>
          <w:lang w:eastAsia="es-MX"/>
          <w14:ligatures w14:val="none"/>
        </w:rPr>
        <w:t>La tasa de sobrecobertura se define como el porcentaje de unidades en los registros administrativos </w:t>
      </w:r>
    </w:p>
    <w:p w14:paraId="55B01335" w14:textId="04610F1D" w:rsidR="00A779BC" w:rsidRPr="00E82B5F" w:rsidRDefault="00A779BC" w:rsidP="00A779BC">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E82B5F">
        <w:rPr>
          <w:rFonts w:ascii="Calibri" w:eastAsia="Times New Roman" w:hAnsi="Calibri" w:cs="Calibri"/>
          <w:color w:val="000000"/>
          <w:kern w:val="0"/>
          <w:sz w:val="20"/>
          <w:szCs w:val="20"/>
          <w:lang w:eastAsia="es-MX"/>
          <w14:ligatures w14:val="none"/>
        </w:rPr>
        <w:t>que no corresponden a las unidades de la población objetivo.</w:t>
      </w:r>
    </w:p>
    <w:p w14:paraId="42093F5B" w14:textId="77777777" w:rsidR="00A779BC" w:rsidRDefault="00A779BC" w:rsidP="00A779BC">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65239BF9" w14:textId="0D9C8993" w:rsidR="00A779BC" w:rsidRPr="00A779BC" w:rsidRDefault="00A779BC" w:rsidP="00A779BC">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779BC">
        <w:rPr>
          <w:rFonts w:ascii="Calibri" w:eastAsia="Times New Roman" w:hAnsi="Calibri" w:cs="Calibri"/>
          <w:color w:val="000000"/>
          <w:kern w:val="0"/>
          <w:sz w:val="20"/>
          <w:szCs w:val="20"/>
          <w:lang w:eastAsia="es-MX"/>
          <w14:ligatures w14:val="none"/>
        </w:rPr>
        <w:t xml:space="preserve">Los responsables de cada </w:t>
      </w:r>
      <w:r w:rsidR="00E21470">
        <w:rPr>
          <w:rFonts w:ascii="Calibri" w:eastAsia="Times New Roman" w:hAnsi="Calibri" w:cs="Calibri"/>
          <w:color w:val="000000"/>
          <w:kern w:val="0"/>
          <w:sz w:val="20"/>
          <w:szCs w:val="20"/>
          <w:lang w:eastAsia="es-MX"/>
          <w14:ligatures w14:val="none"/>
        </w:rPr>
        <w:t>p</w:t>
      </w:r>
      <w:r w:rsidRPr="00A779BC">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779BC">
        <w:rPr>
          <w:rFonts w:ascii="Calibri" w:eastAsia="Times New Roman" w:hAnsi="Calibri" w:cs="Calibri"/>
          <w:color w:val="000000"/>
          <w:kern w:val="0"/>
          <w:sz w:val="20"/>
          <w:szCs w:val="20"/>
          <w:lang w:eastAsia="es-MX"/>
          <w14:ligatures w14:val="none"/>
        </w:rPr>
        <w:t xml:space="preserve"> deberán especificar los aspectos siguientes:</w:t>
      </w:r>
    </w:p>
    <w:p w14:paraId="22237CAC" w14:textId="77777777" w:rsidR="00A779BC" w:rsidRPr="00A779BC" w:rsidRDefault="00A779BC" w:rsidP="00A779BC">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779BC">
        <w:rPr>
          <w:rFonts w:ascii="Calibri" w:eastAsia="Times New Roman" w:hAnsi="Calibri" w:cs="Calibri"/>
          <w:color w:val="000000"/>
          <w:kern w:val="0"/>
          <w:sz w:val="20"/>
          <w:szCs w:val="20"/>
          <w:lang w:eastAsia="es-MX"/>
          <w14:ligatures w14:val="none"/>
        </w:rPr>
        <w:t>i) Los dominios de estudio para los que se calculará este indicador.</w:t>
      </w:r>
    </w:p>
    <w:p w14:paraId="2B2AF3F5" w14:textId="18F45F62" w:rsidR="00DE2869" w:rsidRDefault="00A779BC" w:rsidP="00A779BC">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779BC">
        <w:rPr>
          <w:rFonts w:ascii="Calibri" w:eastAsia="Times New Roman" w:hAnsi="Calibri" w:cs="Calibri"/>
          <w:color w:val="000000"/>
          <w:kern w:val="0"/>
          <w:sz w:val="20"/>
          <w:szCs w:val="20"/>
          <w:lang w:eastAsia="es-MX"/>
          <w14:ligatures w14:val="none"/>
        </w:rPr>
        <w:t xml:space="preserve">ii) Población objetivo del </w:t>
      </w:r>
      <w:r w:rsidR="00E21470">
        <w:rPr>
          <w:rFonts w:ascii="Calibri" w:eastAsia="Times New Roman" w:hAnsi="Calibri" w:cs="Calibri"/>
          <w:color w:val="000000"/>
          <w:kern w:val="0"/>
          <w:sz w:val="20"/>
          <w:szCs w:val="20"/>
          <w:lang w:eastAsia="es-MX"/>
          <w14:ligatures w14:val="none"/>
        </w:rPr>
        <w:t>p</w:t>
      </w:r>
      <w:r w:rsidRPr="00A779BC">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1470">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DE2869" w:rsidRPr="00DE2869">
        <w:rPr>
          <w:rFonts w:ascii="Calibri" w:eastAsia="Times New Roman" w:hAnsi="Calibri" w:cs="Calibri"/>
          <w:color w:val="000000"/>
          <w:kern w:val="0"/>
          <w:sz w:val="20"/>
          <w:szCs w:val="20"/>
          <w:lang w:eastAsia="es-MX"/>
          <w14:ligatures w14:val="none"/>
        </w:rPr>
        <w:t>.</w:t>
      </w:r>
    </w:p>
    <w:p w14:paraId="0CB2097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27F8BACF" w:rsidR="00100E12" w:rsidRDefault="00A779BC"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779BC">
        <w:rPr>
          <w:rFonts w:ascii="Calibri" w:eastAsia="Times New Roman" w:hAnsi="Calibri" w:cs="Calibri"/>
          <w:color w:val="000000"/>
          <w:kern w:val="0"/>
          <w:sz w:val="20"/>
          <w:szCs w:val="20"/>
          <w:lang w:eastAsia="es-MX"/>
          <w14:ligatures w14:val="none"/>
        </w:rPr>
        <w:t>No se adopta un valor de referencia, sin embargo, valores altos implican una revisión de los insumos.</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95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137D47"/>
    <w:multiLevelType w:val="hybridMultilevel"/>
    <w:tmpl w:val="B8DEC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747AE1"/>
    <w:multiLevelType w:val="hybridMultilevel"/>
    <w:tmpl w:val="9CB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4E7D49"/>
    <w:multiLevelType w:val="hybridMultilevel"/>
    <w:tmpl w:val="4FE699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9293452">
    <w:abstractNumId w:val="7"/>
  </w:num>
  <w:num w:numId="2" w16cid:durableId="2067950652">
    <w:abstractNumId w:val="12"/>
  </w:num>
  <w:num w:numId="3" w16cid:durableId="222571677">
    <w:abstractNumId w:val="3"/>
  </w:num>
  <w:num w:numId="4" w16cid:durableId="2024285873">
    <w:abstractNumId w:val="0"/>
  </w:num>
  <w:num w:numId="5" w16cid:durableId="674309550">
    <w:abstractNumId w:val="1"/>
  </w:num>
  <w:num w:numId="6" w16cid:durableId="1151366441">
    <w:abstractNumId w:val="11"/>
  </w:num>
  <w:num w:numId="7" w16cid:durableId="1373924067">
    <w:abstractNumId w:val="8"/>
  </w:num>
  <w:num w:numId="8" w16cid:durableId="435561208">
    <w:abstractNumId w:val="9"/>
  </w:num>
  <w:num w:numId="9" w16cid:durableId="1724983717">
    <w:abstractNumId w:val="6"/>
  </w:num>
  <w:num w:numId="10" w16cid:durableId="76486300">
    <w:abstractNumId w:val="4"/>
  </w:num>
  <w:num w:numId="11" w16cid:durableId="672757559">
    <w:abstractNumId w:val="5"/>
  </w:num>
  <w:num w:numId="12" w16cid:durableId="2000422183">
    <w:abstractNumId w:val="2"/>
  </w:num>
  <w:num w:numId="13" w16cid:durableId="395400278">
    <w:abstractNumId w:val="13"/>
  </w:num>
  <w:num w:numId="14" w16cid:durableId="1439133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D7CCD"/>
    <w:rsid w:val="00100E12"/>
    <w:rsid w:val="00125E0E"/>
    <w:rsid w:val="00186E2E"/>
    <w:rsid w:val="00206D7D"/>
    <w:rsid w:val="00235D6E"/>
    <w:rsid w:val="00294AE7"/>
    <w:rsid w:val="002B2675"/>
    <w:rsid w:val="002F559F"/>
    <w:rsid w:val="0033224A"/>
    <w:rsid w:val="00335E4E"/>
    <w:rsid w:val="003569FC"/>
    <w:rsid w:val="0042050E"/>
    <w:rsid w:val="00444B20"/>
    <w:rsid w:val="00464252"/>
    <w:rsid w:val="00465D7E"/>
    <w:rsid w:val="004836B2"/>
    <w:rsid w:val="004A0D61"/>
    <w:rsid w:val="004B32E5"/>
    <w:rsid w:val="004D2E5F"/>
    <w:rsid w:val="00536217"/>
    <w:rsid w:val="005A7D2D"/>
    <w:rsid w:val="005D5F63"/>
    <w:rsid w:val="0061336D"/>
    <w:rsid w:val="00624EA3"/>
    <w:rsid w:val="00634AA4"/>
    <w:rsid w:val="00690384"/>
    <w:rsid w:val="006B2E16"/>
    <w:rsid w:val="00705EC1"/>
    <w:rsid w:val="00711025"/>
    <w:rsid w:val="007B2580"/>
    <w:rsid w:val="007B774C"/>
    <w:rsid w:val="007D2115"/>
    <w:rsid w:val="00830A04"/>
    <w:rsid w:val="00872EB8"/>
    <w:rsid w:val="008C470B"/>
    <w:rsid w:val="00947989"/>
    <w:rsid w:val="009510D8"/>
    <w:rsid w:val="009546E7"/>
    <w:rsid w:val="0097395E"/>
    <w:rsid w:val="00984084"/>
    <w:rsid w:val="009935FA"/>
    <w:rsid w:val="009E4E85"/>
    <w:rsid w:val="009F0312"/>
    <w:rsid w:val="00A1677B"/>
    <w:rsid w:val="00A50F8D"/>
    <w:rsid w:val="00A779BC"/>
    <w:rsid w:val="00AE6655"/>
    <w:rsid w:val="00BF4A5C"/>
    <w:rsid w:val="00CC4C5F"/>
    <w:rsid w:val="00CF0E84"/>
    <w:rsid w:val="00D274BD"/>
    <w:rsid w:val="00D42E7D"/>
    <w:rsid w:val="00D468DB"/>
    <w:rsid w:val="00DC62CD"/>
    <w:rsid w:val="00DE2869"/>
    <w:rsid w:val="00DF5B40"/>
    <w:rsid w:val="00E21470"/>
    <w:rsid w:val="00E272C2"/>
    <w:rsid w:val="00E56893"/>
    <w:rsid w:val="00E60F03"/>
    <w:rsid w:val="00E82B5F"/>
    <w:rsid w:val="00EC4770"/>
    <w:rsid w:val="00EE62C9"/>
    <w:rsid w:val="00EF43FC"/>
    <w:rsid w:val="00F1465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5</Pages>
  <Words>1818</Words>
  <Characters>10000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35</cp:revision>
  <dcterms:created xsi:type="dcterms:W3CDTF">2025-07-23T17:19:00Z</dcterms:created>
  <dcterms:modified xsi:type="dcterms:W3CDTF">2025-10-09T17:26:00Z</dcterms:modified>
</cp:coreProperties>
</file>